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E4A" w:rsidRDefault="002E1E4A"/>
    <w:p w:rsidR="002E1E4A" w:rsidRDefault="002E1E4A">
      <w:r>
        <w:t>Dear --------------</w:t>
      </w:r>
    </w:p>
    <w:p w:rsidR="002E1E4A" w:rsidRDefault="002E1E4A"/>
    <w:p w:rsidR="0032493A" w:rsidRDefault="002E1E4A">
      <w:r>
        <w:t xml:space="preserve">We are writing </w:t>
      </w:r>
      <w:r w:rsidR="0032493A">
        <w:t>because it appears that the ---------------- Housing Authority</w:t>
      </w:r>
      <w:r>
        <w:t xml:space="preserve"> </w:t>
      </w:r>
      <w:r w:rsidR="0032493A">
        <w:t xml:space="preserve">has not yet sent out a notice to its Housing Choice Voucher tenants notifying them of the new opportunities presented by the Small Area FMR rule, enabling them to move to lower poverty areas in the future.  We understand that you have notified some tenants of the possibility of lower SAFMRs in lower rent neighborhoods in the future, which is important, but this is only half of your obligation.  </w:t>
      </w:r>
    </w:p>
    <w:p w:rsidR="0032493A" w:rsidRDefault="0032493A"/>
    <w:p w:rsidR="001C531B" w:rsidRDefault="0032493A">
      <w:r>
        <w:t>Failure to send out a notice to HCV tenants about their new opportunities con</w:t>
      </w:r>
      <w:r w:rsidR="002F194E">
        <w:t xml:space="preserve">flicts with the Fair Housing Act, 42 USC §3601 </w:t>
      </w:r>
      <w:proofErr w:type="gramStart"/>
      <w:r w:rsidR="002F194E">
        <w:t>et</w:t>
      </w:r>
      <w:proofErr w:type="gramEnd"/>
      <w:r w:rsidR="002F194E">
        <w:t xml:space="preserve"> </w:t>
      </w:r>
      <w:proofErr w:type="spellStart"/>
      <w:r w:rsidR="002F194E">
        <w:t>seq</w:t>
      </w:r>
      <w:proofErr w:type="spellEnd"/>
      <w:r w:rsidR="002F194E">
        <w:t xml:space="preserve"> (including your </w:t>
      </w:r>
      <w:r>
        <w:t>agency’s</w:t>
      </w:r>
      <w:r w:rsidR="002F194E">
        <w:t xml:space="preserve"> obligation to affirmatively further fair housing)</w:t>
      </w:r>
      <w:r w:rsidR="001C531B">
        <w:t xml:space="preserve">.  </w:t>
      </w:r>
      <w:r>
        <w:t xml:space="preserve">Failure </w:t>
      </w:r>
      <w:r w:rsidR="001C531B">
        <w:t xml:space="preserve">to inform tenants of their new housing opportunities under the Small Area FMR rule will have a foreseeable discriminatory impact on the basis of race, depriving your clients of information about opportunities in lower poverty, less segregated areas, and will perpetuate segregation in your HCV program, as well as in the </w:t>
      </w:r>
      <w:r>
        <w:t>metropolitan</w:t>
      </w:r>
      <w:r w:rsidR="001C531B">
        <w:t xml:space="preserve"> region generally. </w:t>
      </w:r>
    </w:p>
    <w:p w:rsidR="002E1E4A" w:rsidRDefault="002E1E4A"/>
    <w:p w:rsidR="001C531B" w:rsidRDefault="0032493A" w:rsidP="001C531B">
      <w:r>
        <w:t>Failure to</w:t>
      </w:r>
      <w:r w:rsidR="001C531B">
        <w:t xml:space="preserve"> affirmatively inform tenants of their new housing opportunities also violates HUD’s portability rule, 24 CFR 982.301, and portability guidance, Notice PIH 2016-09, which require </w:t>
      </w:r>
      <w:r>
        <w:t>that PHAs inform</w:t>
      </w:r>
      <w:r w:rsidR="001C531B">
        <w:t xml:space="preserve"> tenants of the advantages of living outside of high poverty neighborhoods, and require PHAs to provide tenants with information on apartments outside high poverty areas</w:t>
      </w:r>
      <w:r w:rsidR="00106603">
        <w:t xml:space="preserve">. </w:t>
      </w:r>
      <w:r w:rsidR="001C531B" w:rsidRPr="001C531B">
        <w:rPr>
          <w:rFonts w:eastAsia="Times New Roman" w:cs="Times New Roman"/>
          <w:szCs w:val="24"/>
        </w:rPr>
        <w:t xml:space="preserve">The </w:t>
      </w:r>
      <w:r w:rsidR="00106603">
        <w:rPr>
          <w:rFonts w:eastAsia="Times New Roman" w:cs="Times New Roman"/>
          <w:szCs w:val="24"/>
        </w:rPr>
        <w:t xml:space="preserve">final </w:t>
      </w:r>
      <w:r w:rsidR="001C531B">
        <w:rPr>
          <w:rFonts w:eastAsia="Times New Roman" w:cs="Times New Roman"/>
          <w:szCs w:val="24"/>
        </w:rPr>
        <w:t>rule also mandates that the “</w:t>
      </w:r>
      <w:hyperlink r:id="rId6" w:tooltip="PHA" w:history="1">
        <w:r w:rsidR="001C531B" w:rsidRPr="001C531B">
          <w:rPr>
            <w:rFonts w:eastAsia="Times New Roman" w:cs="Times New Roman"/>
            <w:szCs w:val="24"/>
          </w:rPr>
          <w:t>PHA</w:t>
        </w:r>
      </w:hyperlink>
      <w:r w:rsidR="001C531B" w:rsidRPr="001C531B">
        <w:rPr>
          <w:rFonts w:eastAsia="Times New Roman" w:cs="Times New Roman"/>
          <w:szCs w:val="24"/>
        </w:rPr>
        <w:t xml:space="preserve"> </w:t>
      </w:r>
      <w:hyperlink r:id="rId7" w:tooltip="may" w:history="1">
        <w:r w:rsidR="001C531B" w:rsidRPr="001C531B">
          <w:rPr>
            <w:rFonts w:eastAsia="Times New Roman" w:cs="Times New Roman"/>
            <w:szCs w:val="24"/>
          </w:rPr>
          <w:t>may</w:t>
        </w:r>
      </w:hyperlink>
      <w:r w:rsidR="001C531B" w:rsidRPr="001C531B">
        <w:rPr>
          <w:rFonts w:eastAsia="Times New Roman" w:cs="Times New Roman"/>
          <w:szCs w:val="24"/>
        </w:rPr>
        <w:t xml:space="preserve"> not discourage the </w:t>
      </w:r>
      <w:hyperlink r:id="rId8" w:tooltip="family" w:history="1">
        <w:r w:rsidR="001C531B" w:rsidRPr="001C531B">
          <w:rPr>
            <w:rFonts w:eastAsia="Times New Roman" w:cs="Times New Roman"/>
            <w:szCs w:val="24"/>
          </w:rPr>
          <w:t>family</w:t>
        </w:r>
      </w:hyperlink>
      <w:r w:rsidR="001C531B" w:rsidRPr="001C531B">
        <w:rPr>
          <w:rFonts w:eastAsia="Times New Roman" w:cs="Times New Roman"/>
          <w:szCs w:val="24"/>
        </w:rPr>
        <w:t xml:space="preserve"> from choosing to live anywhere in the </w:t>
      </w:r>
      <w:hyperlink r:id="rId9" w:tooltip="PHA" w:history="1">
        <w:r w:rsidR="001C531B" w:rsidRPr="001C531B">
          <w:rPr>
            <w:rFonts w:eastAsia="Times New Roman" w:cs="Times New Roman"/>
            <w:szCs w:val="24"/>
          </w:rPr>
          <w:t>PHA</w:t>
        </w:r>
      </w:hyperlink>
      <w:r w:rsidR="001C531B" w:rsidRPr="001C531B">
        <w:rPr>
          <w:rFonts w:eastAsia="Times New Roman" w:cs="Times New Roman"/>
          <w:szCs w:val="24"/>
        </w:rPr>
        <w:t xml:space="preserve"> </w:t>
      </w:r>
      <w:hyperlink r:id="rId10" w:tooltip="jurisdiction" w:history="1">
        <w:r w:rsidR="001C531B" w:rsidRPr="001C531B">
          <w:rPr>
            <w:rFonts w:eastAsia="Times New Roman" w:cs="Times New Roman"/>
            <w:szCs w:val="24"/>
          </w:rPr>
          <w:t>jurisdiction</w:t>
        </w:r>
      </w:hyperlink>
      <w:r w:rsidR="001C531B" w:rsidRPr="001C531B">
        <w:rPr>
          <w:rFonts w:eastAsia="Times New Roman" w:cs="Times New Roman"/>
          <w:szCs w:val="24"/>
        </w:rPr>
        <w:t xml:space="preserve">, or outside the </w:t>
      </w:r>
      <w:hyperlink r:id="rId11" w:tooltip="PHA" w:history="1">
        <w:r w:rsidR="001C531B" w:rsidRPr="001C531B">
          <w:rPr>
            <w:rFonts w:eastAsia="Times New Roman" w:cs="Times New Roman"/>
            <w:szCs w:val="24"/>
          </w:rPr>
          <w:t>PHA</w:t>
        </w:r>
      </w:hyperlink>
      <w:r w:rsidR="001C531B" w:rsidRPr="001C531B">
        <w:rPr>
          <w:rFonts w:eastAsia="Times New Roman" w:cs="Times New Roman"/>
          <w:szCs w:val="24"/>
        </w:rPr>
        <w:t xml:space="preserve"> </w:t>
      </w:r>
      <w:hyperlink r:id="rId12" w:tooltip="jurisdiction" w:history="1">
        <w:r w:rsidR="001C531B" w:rsidRPr="001C531B">
          <w:rPr>
            <w:rFonts w:eastAsia="Times New Roman" w:cs="Times New Roman"/>
            <w:szCs w:val="24"/>
          </w:rPr>
          <w:t>jurisdiction</w:t>
        </w:r>
      </w:hyperlink>
      <w:r w:rsidR="001C531B">
        <w:rPr>
          <w:rFonts w:eastAsia="Times New Roman" w:cs="Times New Roman"/>
          <w:szCs w:val="24"/>
        </w:rPr>
        <w:t>”</w:t>
      </w:r>
      <w:r>
        <w:rPr>
          <w:rFonts w:eastAsia="Times New Roman" w:cs="Times New Roman"/>
          <w:szCs w:val="24"/>
        </w:rPr>
        <w:t xml:space="preserve"> – and keeping this important new opportunity hidden from your clients will have the same</w:t>
      </w:r>
      <w:r w:rsidR="001C531B">
        <w:rPr>
          <w:rFonts w:eastAsia="Times New Roman" w:cs="Times New Roman"/>
          <w:szCs w:val="24"/>
        </w:rPr>
        <w:t xml:space="preserve"> effect.</w:t>
      </w:r>
    </w:p>
    <w:p w:rsidR="001C531B" w:rsidRDefault="001C531B" w:rsidP="001C531B">
      <w:r>
        <w:t xml:space="preserve"> </w:t>
      </w:r>
    </w:p>
    <w:p w:rsidR="002E1E4A" w:rsidRDefault="001C531B">
      <w:r>
        <w:t>I</w:t>
      </w:r>
      <w:r w:rsidR="002E1E4A">
        <w:t>n its training for PHAs, HUD</w:t>
      </w:r>
      <w:r>
        <w:t xml:space="preserve"> also</w:t>
      </w:r>
      <w:r w:rsidR="002E1E4A">
        <w:t xml:space="preserve"> emphasizes that “PHAs will need to inform voucher holders” about SAFMRs, and recommends that PHAs should particularly note that Small Area FMRs “</w:t>
      </w:r>
      <w:proofErr w:type="gramStart"/>
      <w:r w:rsidR="002E1E4A">
        <w:t>may</w:t>
      </w:r>
      <w:proofErr w:type="gramEnd"/>
      <w:r w:rsidR="002E1E4A">
        <w:t xml:space="preserve"> make it easier for tenants to afford housing in high cost areas,” and that PHAs should convey to tenants “the advantages of moving to areas with low concentrations of low-income families.”</w:t>
      </w:r>
      <w:r w:rsidR="002E1E4A">
        <w:rPr>
          <w:rStyle w:val="FootnoteReference"/>
        </w:rPr>
        <w:footnoteReference w:id="1"/>
      </w:r>
      <w:r w:rsidR="002E1E4A">
        <w:t xml:space="preserve"> </w:t>
      </w:r>
    </w:p>
    <w:p w:rsidR="002E1E4A" w:rsidRDefault="002E1E4A"/>
    <w:p w:rsidR="00106603" w:rsidRDefault="00106603">
      <w:r>
        <w:t xml:space="preserve">For all of these reasons, we request that the </w:t>
      </w:r>
      <w:r w:rsidR="0032493A">
        <w:t>------------------ Housing Authority</w:t>
      </w:r>
      <w:r>
        <w:t xml:space="preserve"> immediately send out a notice to all of its Housing Choice Voucher clients residing</w:t>
      </w:r>
      <w:r w:rsidR="0032493A">
        <w:t xml:space="preserve"> within the mandatory </w:t>
      </w:r>
      <w:r>
        <w:t xml:space="preserve">Small Area FMR region indicating that the new rule has substantially increased rent caps in lower poverty neighborhoods throughout the region, and reemphasizing the advantages of living in a lower poverty area.  A </w:t>
      </w:r>
      <w:r w:rsidR="004D30CD">
        <w:t>sample</w:t>
      </w:r>
      <w:bookmarkStart w:id="0" w:name="_GoBack"/>
      <w:bookmarkEnd w:id="0"/>
      <w:r>
        <w:t xml:space="preserve"> letter</w:t>
      </w:r>
      <w:r w:rsidR="0032493A">
        <w:t xml:space="preserve"> to tenants</w:t>
      </w:r>
      <w:r>
        <w:t xml:space="preserve"> and map is attached – </w:t>
      </w:r>
      <w:r w:rsidR="004D30CD">
        <w:t>we hope you will</w:t>
      </w:r>
      <w:r>
        <w:t xml:space="preserve"> use these with your client list.</w:t>
      </w:r>
    </w:p>
    <w:p w:rsidR="00106603" w:rsidRDefault="00106603"/>
    <w:p w:rsidR="00106603" w:rsidRDefault="00106603"/>
    <w:p w:rsidR="00106603" w:rsidRDefault="00106603">
      <w:r>
        <w:t>Sincerely,</w:t>
      </w:r>
    </w:p>
    <w:p w:rsidR="00106603" w:rsidRDefault="00106603"/>
    <w:p w:rsidR="00106603" w:rsidRPr="001C531B" w:rsidRDefault="00106603"/>
    <w:sectPr w:rsidR="00106603" w:rsidRPr="001C531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808" w:rsidRDefault="006F0808" w:rsidP="002E1E4A">
      <w:r>
        <w:separator/>
      </w:r>
    </w:p>
  </w:endnote>
  <w:endnote w:type="continuationSeparator" w:id="0">
    <w:p w:rsidR="006F0808" w:rsidRDefault="006F0808" w:rsidP="002E1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808" w:rsidRDefault="006F0808" w:rsidP="002E1E4A">
      <w:r>
        <w:separator/>
      </w:r>
    </w:p>
  </w:footnote>
  <w:footnote w:type="continuationSeparator" w:id="0">
    <w:p w:rsidR="006F0808" w:rsidRDefault="006F0808" w:rsidP="002E1E4A">
      <w:r>
        <w:continuationSeparator/>
      </w:r>
    </w:p>
  </w:footnote>
  <w:footnote w:id="1">
    <w:p w:rsidR="002E1E4A" w:rsidRPr="002E1E4A" w:rsidRDefault="002E1E4A" w:rsidP="002E1E4A">
      <w:pPr>
        <w:rPr>
          <w:sz w:val="20"/>
          <w:szCs w:val="20"/>
        </w:rPr>
      </w:pPr>
      <w:r>
        <w:rPr>
          <w:rStyle w:val="FootnoteReference"/>
        </w:rPr>
        <w:footnoteRef/>
      </w:r>
      <w:r>
        <w:t xml:space="preserve"> </w:t>
      </w:r>
      <w:r>
        <w:rPr>
          <w:sz w:val="20"/>
          <w:szCs w:val="20"/>
        </w:rPr>
        <w:t xml:space="preserve">See HUD webinar on SAFMRs, at </w:t>
      </w:r>
      <w:hyperlink r:id="rId1" w:history="1">
        <w:r w:rsidRPr="002E1E4A">
          <w:rPr>
            <w:rStyle w:val="Hyperlink"/>
            <w:sz w:val="20"/>
            <w:szCs w:val="20"/>
          </w:rPr>
          <w:t>https://www.hudexchange.info/resources/documents/Implementing-HUDs-SAFMRs-Rule-Webcast-Transcript_12.pdf</w:t>
        </w:r>
      </w:hyperlink>
    </w:p>
    <w:p w:rsidR="002E1E4A" w:rsidRDefault="002E1E4A">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E4A"/>
    <w:rsid w:val="000E4D0A"/>
    <w:rsid w:val="000F14E3"/>
    <w:rsid w:val="00106603"/>
    <w:rsid w:val="001C531B"/>
    <w:rsid w:val="002E1E4A"/>
    <w:rsid w:val="002F194E"/>
    <w:rsid w:val="0032493A"/>
    <w:rsid w:val="004A46AE"/>
    <w:rsid w:val="004D30CD"/>
    <w:rsid w:val="006F0808"/>
    <w:rsid w:val="008C6C3F"/>
    <w:rsid w:val="00CA1214"/>
    <w:rsid w:val="00CB12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51336-3B08-4A12-9883-D144C9DC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E4A"/>
    <w:rPr>
      <w:color w:val="0000FF" w:themeColor="hyperlink"/>
      <w:u w:val="single"/>
    </w:rPr>
  </w:style>
  <w:style w:type="paragraph" w:styleId="FootnoteText">
    <w:name w:val="footnote text"/>
    <w:basedOn w:val="Normal"/>
    <w:link w:val="FootnoteTextChar"/>
    <w:uiPriority w:val="99"/>
    <w:semiHidden/>
    <w:unhideWhenUsed/>
    <w:rsid w:val="002E1E4A"/>
    <w:rPr>
      <w:sz w:val="20"/>
      <w:szCs w:val="20"/>
    </w:rPr>
  </w:style>
  <w:style w:type="character" w:customStyle="1" w:styleId="FootnoteTextChar">
    <w:name w:val="Footnote Text Char"/>
    <w:basedOn w:val="DefaultParagraphFont"/>
    <w:link w:val="FootnoteText"/>
    <w:uiPriority w:val="99"/>
    <w:semiHidden/>
    <w:rsid w:val="002E1E4A"/>
    <w:rPr>
      <w:sz w:val="20"/>
      <w:szCs w:val="20"/>
    </w:rPr>
  </w:style>
  <w:style w:type="character" w:styleId="FootnoteReference">
    <w:name w:val="footnote reference"/>
    <w:basedOn w:val="DefaultParagraphFont"/>
    <w:uiPriority w:val="99"/>
    <w:semiHidden/>
    <w:unhideWhenUsed/>
    <w:rsid w:val="002E1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9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w.cornell.edu/definitions/index.php?width=840&amp;height=800&amp;iframe=true&amp;def_id=c53cf78cbf206c9ab3ef77db1a2fe6f6&amp;term_occur=6&amp;term_src=Title:24:Subtitle:B:Chapter:IX:Part:982:Subpart:G:982.30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aw.cornell.edu/definitions/index.php?width=840&amp;height=800&amp;iframe=true&amp;def_id=e3b0880323aa156a7c5817572c88fd3c&amp;term_occur=2&amp;term_src=Title:24:Subtitle:B:Chapter:IX:Part:982:Subpart:G:982.301" TargetMode="External"/><Relationship Id="rId12" Type="http://schemas.openxmlformats.org/officeDocument/2006/relationships/hyperlink" Target="https://www.law.cornell.edu/definitions/index.php?width=840&amp;height=800&amp;iframe=true&amp;def_id=47a4a2eaac685aa11234b3836889de9a&amp;term_occur=2&amp;term_src=Title:24:Subtitle:B:Chapter:IX:Part:982:Subpart:G:982.30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aw.cornell.edu/definitions/index.php?width=840&amp;height=800&amp;iframe=true&amp;def_id=3b4d5083a1b40906b99b82eff55c2461&amp;term_occur=4&amp;term_src=Title:24:Subtitle:B:Chapter:IX:Part:982:Subpart:G:982.301" TargetMode="External"/><Relationship Id="rId11" Type="http://schemas.openxmlformats.org/officeDocument/2006/relationships/hyperlink" Target="https://www.law.cornell.edu/definitions/index.php?width=840&amp;height=800&amp;iframe=true&amp;def_id=3b4d5083a1b40906b99b82eff55c2461&amp;term_occur=6&amp;term_src=Title:24:Subtitle:B:Chapter:IX:Part:982:Subpart:G:982.301" TargetMode="External"/><Relationship Id="rId5" Type="http://schemas.openxmlformats.org/officeDocument/2006/relationships/endnotes" Target="endnotes.xml"/><Relationship Id="rId10" Type="http://schemas.openxmlformats.org/officeDocument/2006/relationships/hyperlink" Target="https://www.law.cornell.edu/definitions/index.php?width=840&amp;height=800&amp;iframe=true&amp;def_id=47a4a2eaac685aa11234b3836889de9a&amp;term_occur=3&amp;term_src=Title:24:Subtitle:B:Chapter:IX:Part:982:Subpart:G:982.301" TargetMode="External"/><Relationship Id="rId4" Type="http://schemas.openxmlformats.org/officeDocument/2006/relationships/footnotes" Target="footnotes.xml"/><Relationship Id="rId9" Type="http://schemas.openxmlformats.org/officeDocument/2006/relationships/hyperlink" Target="https://www.law.cornell.edu/definitions/index.php?width=840&amp;height=800&amp;iframe=true&amp;def_id=3b4d5083a1b40906b99b82eff55c2461&amp;term_occur=5&amp;term_src=Title:24:Subtitle:B:Chapter:IX:Part:982:Subpart:G:982.30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resources/documents/Implementing-HUDs-SAFMRs-Rule-Webcast-Transcript_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Tegeler</dc:creator>
  <cp:keywords/>
  <dc:description/>
  <cp:lastModifiedBy>Phil Tegeler</cp:lastModifiedBy>
  <cp:revision>3</cp:revision>
  <dcterms:created xsi:type="dcterms:W3CDTF">2018-11-08T21:02:00Z</dcterms:created>
  <dcterms:modified xsi:type="dcterms:W3CDTF">2018-11-08T21:11:00Z</dcterms:modified>
</cp:coreProperties>
</file>