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7AC3D" w14:textId="77777777" w:rsidR="00EE43A3" w:rsidRPr="00926F4D" w:rsidRDefault="00EE43A3" w:rsidP="00EE43A3">
      <w:pPr>
        <w:tabs>
          <w:tab w:val="center" w:pos="4680"/>
        </w:tabs>
        <w:jc w:val="center"/>
        <w:rPr>
          <w:b/>
          <w:sz w:val="24"/>
          <w:szCs w:val="24"/>
        </w:rPr>
      </w:pPr>
      <w:bookmarkStart w:id="0" w:name="_GoBack"/>
      <w:bookmarkEnd w:id="0"/>
      <w:r w:rsidRPr="00926F4D">
        <w:rPr>
          <w:b/>
          <w:sz w:val="24"/>
          <w:szCs w:val="24"/>
        </w:rPr>
        <w:t>UNITED STATES DISTRICT COURT</w:t>
      </w:r>
    </w:p>
    <w:p w14:paraId="14D75091" w14:textId="77777777" w:rsidR="00EE43A3" w:rsidRPr="00926F4D" w:rsidRDefault="00EE43A3" w:rsidP="00EE43A3">
      <w:pPr>
        <w:tabs>
          <w:tab w:val="center" w:pos="4680"/>
        </w:tabs>
        <w:rPr>
          <w:b/>
          <w:sz w:val="24"/>
          <w:szCs w:val="24"/>
        </w:rPr>
      </w:pPr>
      <w:r w:rsidRPr="00926F4D">
        <w:rPr>
          <w:b/>
          <w:sz w:val="24"/>
          <w:szCs w:val="24"/>
        </w:rPr>
        <w:tab/>
        <w:t xml:space="preserve"> FOR THE NORTHERN DISTRICT OF ILLINOIS</w:t>
      </w:r>
    </w:p>
    <w:p w14:paraId="233A8B31" w14:textId="77777777" w:rsidR="00EE43A3" w:rsidRPr="00926F4D" w:rsidRDefault="00EE43A3" w:rsidP="00EE43A3">
      <w:pPr>
        <w:pStyle w:val="Heading1"/>
        <w:rPr>
          <w:b/>
        </w:rPr>
      </w:pPr>
      <w:r w:rsidRPr="00926F4D">
        <w:rPr>
          <w:b/>
        </w:rPr>
        <w:t>EASTERN DIVISION</w:t>
      </w:r>
    </w:p>
    <w:p w14:paraId="17FA9957" w14:textId="77777777" w:rsidR="00EE43A3" w:rsidRPr="00926F4D" w:rsidRDefault="00EE43A3" w:rsidP="00EE43A3">
      <w:pPr>
        <w:jc w:val="center"/>
        <w:rPr>
          <w:rFonts w:ascii="Verdana" w:hAnsi="Verdana"/>
          <w:b/>
          <w:sz w:val="24"/>
          <w:szCs w:val="24"/>
        </w:rPr>
      </w:pPr>
    </w:p>
    <w:p w14:paraId="03D95D79" w14:textId="77777777" w:rsidR="00EE43A3" w:rsidRPr="00926F4D" w:rsidRDefault="00EE43A3" w:rsidP="00EE43A3">
      <w:pPr>
        <w:tabs>
          <w:tab w:val="left" w:pos="-1440"/>
        </w:tabs>
        <w:ind w:left="4320" w:hanging="4320"/>
        <w:rPr>
          <w:b/>
          <w:sz w:val="24"/>
          <w:szCs w:val="24"/>
        </w:rPr>
      </w:pPr>
      <w:r>
        <w:rPr>
          <w:b/>
          <w:sz w:val="24"/>
          <w:szCs w:val="24"/>
        </w:rPr>
        <w:t>TENANT</w:t>
      </w:r>
      <w:proofErr w:type="gramStart"/>
      <w:r w:rsidRPr="00926F4D">
        <w:rPr>
          <w:b/>
          <w:sz w:val="24"/>
          <w:szCs w:val="24"/>
        </w:rPr>
        <w:t>,</w:t>
      </w:r>
      <w:r w:rsidRPr="00926F4D">
        <w:rPr>
          <w:b/>
          <w:sz w:val="24"/>
          <w:szCs w:val="24"/>
        </w:rPr>
        <w:tab/>
        <w:t>)</w:t>
      </w:r>
      <w:proofErr w:type="gramEnd"/>
    </w:p>
    <w:p w14:paraId="44E3ADA5" w14:textId="77777777" w:rsidR="00EE43A3" w:rsidRPr="00926F4D" w:rsidRDefault="00EE43A3" w:rsidP="00EE43A3">
      <w:pPr>
        <w:ind w:firstLine="4320"/>
        <w:rPr>
          <w:b/>
          <w:sz w:val="24"/>
          <w:szCs w:val="24"/>
        </w:rPr>
      </w:pPr>
      <w:r w:rsidRPr="00926F4D">
        <w:rPr>
          <w:b/>
          <w:sz w:val="24"/>
          <w:szCs w:val="24"/>
        </w:rPr>
        <w:t>)</w:t>
      </w:r>
    </w:p>
    <w:p w14:paraId="6D895FBE" w14:textId="77777777" w:rsidR="00EE43A3" w:rsidRPr="00926F4D" w:rsidRDefault="00EE43A3" w:rsidP="00EE43A3">
      <w:pPr>
        <w:ind w:firstLine="720"/>
        <w:rPr>
          <w:b/>
          <w:sz w:val="24"/>
          <w:szCs w:val="24"/>
        </w:rPr>
      </w:pPr>
      <w:r w:rsidRPr="00926F4D">
        <w:rPr>
          <w:b/>
          <w:sz w:val="24"/>
          <w:szCs w:val="24"/>
        </w:rPr>
        <w:t>Plaintiff</w:t>
      </w:r>
      <w:proofErr w:type="gramStart"/>
      <w:r w:rsidRPr="00926F4D">
        <w:rPr>
          <w:b/>
          <w:sz w:val="24"/>
          <w:szCs w:val="24"/>
        </w:rPr>
        <w:t>,</w:t>
      </w:r>
      <w:r w:rsidRPr="00926F4D">
        <w:rPr>
          <w:b/>
          <w:sz w:val="24"/>
          <w:szCs w:val="24"/>
        </w:rPr>
        <w:tab/>
      </w:r>
      <w:r w:rsidRPr="00926F4D">
        <w:rPr>
          <w:b/>
          <w:sz w:val="24"/>
          <w:szCs w:val="24"/>
        </w:rPr>
        <w:tab/>
        <w:t xml:space="preserve"> </w:t>
      </w:r>
      <w:r w:rsidRPr="00926F4D">
        <w:rPr>
          <w:b/>
          <w:sz w:val="24"/>
          <w:szCs w:val="24"/>
        </w:rPr>
        <w:tab/>
      </w:r>
      <w:r w:rsidRPr="00926F4D">
        <w:rPr>
          <w:b/>
          <w:sz w:val="24"/>
          <w:szCs w:val="24"/>
        </w:rPr>
        <w:tab/>
        <w:t>)</w:t>
      </w:r>
      <w:proofErr w:type="gramEnd"/>
      <w:r w:rsidRPr="00926F4D">
        <w:rPr>
          <w:b/>
          <w:sz w:val="24"/>
          <w:szCs w:val="24"/>
        </w:rPr>
        <w:tab/>
        <w:t xml:space="preserve">Civil Action No. </w:t>
      </w:r>
    </w:p>
    <w:p w14:paraId="4A2ADCD5" w14:textId="77777777" w:rsidR="00EE43A3" w:rsidRPr="00926F4D" w:rsidRDefault="00EE43A3" w:rsidP="00EE43A3">
      <w:pPr>
        <w:ind w:firstLine="4320"/>
        <w:rPr>
          <w:b/>
          <w:sz w:val="24"/>
          <w:szCs w:val="24"/>
        </w:rPr>
      </w:pPr>
      <w:r w:rsidRPr="00926F4D">
        <w:rPr>
          <w:b/>
          <w:sz w:val="24"/>
          <w:szCs w:val="24"/>
        </w:rPr>
        <w:t>)</w:t>
      </w:r>
      <w:r w:rsidRPr="00926F4D">
        <w:rPr>
          <w:b/>
          <w:sz w:val="24"/>
          <w:szCs w:val="24"/>
        </w:rPr>
        <w:tab/>
      </w:r>
    </w:p>
    <w:p w14:paraId="6966A4ED" w14:textId="77777777" w:rsidR="00EE43A3" w:rsidRPr="00926F4D" w:rsidRDefault="00EE43A3" w:rsidP="00EE43A3">
      <w:pPr>
        <w:ind w:firstLine="720"/>
        <w:rPr>
          <w:b/>
          <w:sz w:val="24"/>
          <w:szCs w:val="24"/>
        </w:rPr>
      </w:pPr>
      <w:proofErr w:type="gramStart"/>
      <w:r w:rsidRPr="00926F4D">
        <w:rPr>
          <w:b/>
          <w:sz w:val="24"/>
          <w:szCs w:val="24"/>
        </w:rPr>
        <w:t>v.</w:t>
      </w:r>
      <w:r w:rsidRPr="00926F4D">
        <w:rPr>
          <w:b/>
          <w:sz w:val="24"/>
          <w:szCs w:val="24"/>
        </w:rPr>
        <w:tab/>
      </w:r>
      <w:r w:rsidRPr="00926F4D">
        <w:rPr>
          <w:b/>
          <w:sz w:val="24"/>
          <w:szCs w:val="24"/>
        </w:rPr>
        <w:tab/>
      </w:r>
      <w:r w:rsidRPr="00926F4D">
        <w:rPr>
          <w:b/>
          <w:sz w:val="24"/>
          <w:szCs w:val="24"/>
        </w:rPr>
        <w:tab/>
      </w:r>
      <w:r w:rsidRPr="00926F4D">
        <w:rPr>
          <w:b/>
          <w:sz w:val="24"/>
          <w:szCs w:val="24"/>
        </w:rPr>
        <w:tab/>
      </w:r>
      <w:r w:rsidRPr="00926F4D">
        <w:rPr>
          <w:b/>
          <w:sz w:val="24"/>
          <w:szCs w:val="24"/>
        </w:rPr>
        <w:tab/>
        <w:t>)</w:t>
      </w:r>
      <w:proofErr w:type="gramEnd"/>
      <w:r w:rsidRPr="00926F4D">
        <w:rPr>
          <w:b/>
          <w:sz w:val="24"/>
          <w:szCs w:val="24"/>
        </w:rPr>
        <w:tab/>
        <w:t>JURY DEMANDED</w:t>
      </w:r>
    </w:p>
    <w:p w14:paraId="21D2183A" w14:textId="77777777" w:rsidR="00EE43A3" w:rsidRPr="00926F4D" w:rsidRDefault="00EE43A3" w:rsidP="00EE43A3">
      <w:pPr>
        <w:ind w:firstLine="4320"/>
        <w:rPr>
          <w:b/>
          <w:sz w:val="24"/>
          <w:szCs w:val="24"/>
        </w:rPr>
      </w:pPr>
      <w:r w:rsidRPr="00926F4D">
        <w:rPr>
          <w:b/>
          <w:sz w:val="24"/>
          <w:szCs w:val="24"/>
        </w:rPr>
        <w:t>)</w:t>
      </w:r>
    </w:p>
    <w:p w14:paraId="13F833C7" w14:textId="77777777" w:rsidR="00EE43A3" w:rsidRPr="00926F4D" w:rsidRDefault="00EE43A3" w:rsidP="00EE43A3">
      <w:pPr>
        <w:rPr>
          <w:b/>
          <w:sz w:val="24"/>
          <w:szCs w:val="24"/>
        </w:rPr>
      </w:pPr>
      <w:r>
        <w:rPr>
          <w:b/>
          <w:sz w:val="24"/>
          <w:szCs w:val="24"/>
        </w:rPr>
        <w:t>LANDLORD</w:t>
      </w:r>
      <w:proofErr w:type="gramStart"/>
      <w:r w:rsidRPr="00926F4D">
        <w:rPr>
          <w:b/>
          <w:sz w:val="24"/>
          <w:szCs w:val="24"/>
        </w:rPr>
        <w:t>,</w:t>
      </w:r>
      <w:r w:rsidRPr="00926F4D">
        <w:rPr>
          <w:b/>
          <w:sz w:val="24"/>
          <w:szCs w:val="24"/>
        </w:rPr>
        <w:tab/>
      </w:r>
      <w:r w:rsidRPr="00926F4D">
        <w:rPr>
          <w:b/>
          <w:sz w:val="24"/>
          <w:szCs w:val="24"/>
        </w:rPr>
        <w:tab/>
      </w:r>
      <w:r w:rsidRPr="00926F4D">
        <w:rPr>
          <w:b/>
          <w:sz w:val="24"/>
          <w:szCs w:val="24"/>
        </w:rPr>
        <w:tab/>
      </w:r>
      <w:r w:rsidRPr="00926F4D">
        <w:rPr>
          <w:b/>
          <w:sz w:val="24"/>
          <w:szCs w:val="24"/>
        </w:rPr>
        <w:tab/>
      </w:r>
      <w:r>
        <w:rPr>
          <w:b/>
          <w:sz w:val="24"/>
          <w:szCs w:val="24"/>
        </w:rPr>
        <w:tab/>
      </w:r>
      <w:r w:rsidRPr="00926F4D">
        <w:rPr>
          <w:b/>
          <w:sz w:val="24"/>
          <w:szCs w:val="24"/>
        </w:rPr>
        <w:t>)</w:t>
      </w:r>
      <w:proofErr w:type="gramEnd"/>
    </w:p>
    <w:p w14:paraId="33E71071" w14:textId="77777777" w:rsidR="00EE43A3" w:rsidRPr="00926F4D" w:rsidRDefault="00EE43A3" w:rsidP="00EE43A3">
      <w:pPr>
        <w:rPr>
          <w:b/>
          <w:sz w:val="24"/>
          <w:szCs w:val="24"/>
        </w:rPr>
      </w:pPr>
      <w:r w:rsidRPr="00926F4D">
        <w:rPr>
          <w:b/>
          <w:sz w:val="24"/>
          <w:szCs w:val="24"/>
        </w:rPr>
        <w:tab/>
      </w:r>
      <w:r w:rsidRPr="00926F4D">
        <w:rPr>
          <w:b/>
          <w:sz w:val="24"/>
          <w:szCs w:val="24"/>
        </w:rPr>
        <w:tab/>
      </w:r>
      <w:r w:rsidRPr="00926F4D">
        <w:rPr>
          <w:b/>
          <w:sz w:val="24"/>
          <w:szCs w:val="24"/>
        </w:rPr>
        <w:tab/>
      </w:r>
      <w:r w:rsidRPr="00926F4D">
        <w:rPr>
          <w:b/>
          <w:sz w:val="24"/>
          <w:szCs w:val="24"/>
        </w:rPr>
        <w:tab/>
      </w:r>
      <w:r w:rsidRPr="00926F4D">
        <w:rPr>
          <w:b/>
          <w:sz w:val="24"/>
          <w:szCs w:val="24"/>
        </w:rPr>
        <w:tab/>
      </w:r>
      <w:r w:rsidRPr="00926F4D">
        <w:rPr>
          <w:b/>
          <w:sz w:val="24"/>
          <w:szCs w:val="24"/>
        </w:rPr>
        <w:tab/>
        <w:t>)</w:t>
      </w:r>
    </w:p>
    <w:p w14:paraId="426E8CE7" w14:textId="77777777" w:rsidR="00EE43A3" w:rsidRPr="00926F4D" w:rsidRDefault="00EE43A3" w:rsidP="00EE43A3">
      <w:pPr>
        <w:tabs>
          <w:tab w:val="left" w:pos="-1440"/>
        </w:tabs>
        <w:ind w:left="2160" w:hanging="2160"/>
        <w:rPr>
          <w:b/>
          <w:sz w:val="24"/>
          <w:szCs w:val="24"/>
        </w:rPr>
      </w:pPr>
      <w:r w:rsidRPr="00926F4D">
        <w:rPr>
          <w:b/>
          <w:sz w:val="24"/>
          <w:szCs w:val="24"/>
        </w:rPr>
        <w:t xml:space="preserve">        Defendant.</w:t>
      </w:r>
      <w:r w:rsidRPr="00926F4D">
        <w:rPr>
          <w:b/>
          <w:sz w:val="24"/>
          <w:szCs w:val="24"/>
        </w:rPr>
        <w:tab/>
        <w:t xml:space="preserve"> </w:t>
      </w:r>
      <w:r w:rsidRPr="00926F4D">
        <w:rPr>
          <w:b/>
          <w:sz w:val="24"/>
          <w:szCs w:val="24"/>
        </w:rPr>
        <w:tab/>
      </w:r>
      <w:r w:rsidRPr="00926F4D">
        <w:rPr>
          <w:b/>
          <w:sz w:val="24"/>
          <w:szCs w:val="24"/>
        </w:rPr>
        <w:tab/>
      </w:r>
      <w:r w:rsidRPr="00926F4D">
        <w:rPr>
          <w:b/>
          <w:sz w:val="24"/>
          <w:szCs w:val="24"/>
        </w:rPr>
        <w:tab/>
        <w:t>)</w:t>
      </w:r>
    </w:p>
    <w:p w14:paraId="26204932" w14:textId="77777777" w:rsidR="00BC2CFB" w:rsidRDefault="00BC2CFB" w:rsidP="00EE43A3">
      <w:pPr>
        <w:spacing w:line="480" w:lineRule="auto"/>
      </w:pPr>
    </w:p>
    <w:p w14:paraId="3FA4BD62" w14:textId="2DF4CA33" w:rsidR="00EE43A3" w:rsidRDefault="00EE43A3" w:rsidP="00EE43A3">
      <w:pPr>
        <w:spacing w:line="480" w:lineRule="auto"/>
        <w:jc w:val="center"/>
        <w:rPr>
          <w:b/>
          <w:sz w:val="24"/>
          <w:szCs w:val="24"/>
        </w:rPr>
      </w:pPr>
      <w:r w:rsidRPr="00EE43A3">
        <w:rPr>
          <w:b/>
          <w:sz w:val="24"/>
          <w:szCs w:val="24"/>
        </w:rPr>
        <w:t>COMPLAINT</w:t>
      </w:r>
      <w:r w:rsidR="009A03E4">
        <w:rPr>
          <w:rStyle w:val="FootnoteReference"/>
          <w:b/>
          <w:sz w:val="24"/>
          <w:szCs w:val="24"/>
        </w:rPr>
        <w:footnoteReference w:id="1"/>
      </w:r>
    </w:p>
    <w:p w14:paraId="2E02379D" w14:textId="6A47526E" w:rsidR="00EE43A3" w:rsidRDefault="00EE43A3" w:rsidP="00EE43A3">
      <w:pPr>
        <w:spacing w:line="480" w:lineRule="auto"/>
        <w:rPr>
          <w:sz w:val="24"/>
          <w:szCs w:val="24"/>
        </w:rPr>
      </w:pPr>
      <w:r>
        <w:rPr>
          <w:sz w:val="24"/>
          <w:szCs w:val="24"/>
        </w:rPr>
        <w:tab/>
        <w:t>Plaintiff, (“tenant”), bring</w:t>
      </w:r>
      <w:r w:rsidR="00AD272C">
        <w:rPr>
          <w:sz w:val="24"/>
          <w:szCs w:val="24"/>
        </w:rPr>
        <w:t>s</w:t>
      </w:r>
      <w:r>
        <w:rPr>
          <w:sz w:val="24"/>
          <w:szCs w:val="24"/>
        </w:rPr>
        <w:t xml:space="preserve"> this action for redress of </w:t>
      </w:r>
      <w:r w:rsidR="00AD272C">
        <w:rPr>
          <w:sz w:val="24"/>
          <w:szCs w:val="24"/>
        </w:rPr>
        <w:t>D</w:t>
      </w:r>
      <w:r>
        <w:rPr>
          <w:sz w:val="24"/>
          <w:szCs w:val="24"/>
        </w:rPr>
        <w:t>efendant’s (“landlord”) violation of the Fair Debt Protections Collection Act (FDCPA), 15 U.S.C. §</w:t>
      </w:r>
      <w:r w:rsidR="006077E2">
        <w:rPr>
          <w:sz w:val="24"/>
          <w:szCs w:val="24"/>
        </w:rPr>
        <w:t xml:space="preserve"> </w:t>
      </w:r>
      <w:r>
        <w:rPr>
          <w:sz w:val="24"/>
          <w:szCs w:val="24"/>
        </w:rPr>
        <w:t xml:space="preserve">1692, </w:t>
      </w:r>
      <w:proofErr w:type="gramStart"/>
      <w:r>
        <w:rPr>
          <w:sz w:val="24"/>
          <w:szCs w:val="24"/>
        </w:rPr>
        <w:t>et</w:t>
      </w:r>
      <w:proofErr w:type="gramEnd"/>
      <w:r>
        <w:rPr>
          <w:sz w:val="24"/>
          <w:szCs w:val="24"/>
        </w:rPr>
        <w:t xml:space="preserve">. </w:t>
      </w:r>
      <w:proofErr w:type="gramStart"/>
      <w:r>
        <w:rPr>
          <w:sz w:val="24"/>
          <w:szCs w:val="24"/>
        </w:rPr>
        <w:t>s</w:t>
      </w:r>
      <w:r w:rsidRPr="00EE43A3">
        <w:rPr>
          <w:sz w:val="24"/>
          <w:szCs w:val="24"/>
        </w:rPr>
        <w:t>eq</w:t>
      </w:r>
      <w:proofErr w:type="gramEnd"/>
      <w:r w:rsidRPr="00EE43A3">
        <w:rPr>
          <w:sz w:val="24"/>
          <w:szCs w:val="24"/>
        </w:rPr>
        <w:t>.</w:t>
      </w:r>
      <w:r>
        <w:rPr>
          <w:sz w:val="24"/>
          <w:szCs w:val="24"/>
        </w:rPr>
        <w:t xml:space="preserve">, the Illinois Consumer Fraud Act, 815 ILCS 505/2, and the Uniform Deceptive Trade Practices Act, 815 ILCS 510/2. “Landlord” has </w:t>
      </w:r>
      <w:r w:rsidR="00AD272C">
        <w:rPr>
          <w:sz w:val="24"/>
          <w:szCs w:val="24"/>
        </w:rPr>
        <w:t xml:space="preserve">violated each statute by </w:t>
      </w:r>
      <w:r>
        <w:rPr>
          <w:sz w:val="24"/>
          <w:szCs w:val="24"/>
        </w:rPr>
        <w:t>fraudulently misrepresent</w:t>
      </w:r>
      <w:r w:rsidR="00AD272C">
        <w:rPr>
          <w:sz w:val="24"/>
          <w:szCs w:val="24"/>
        </w:rPr>
        <w:t>ing</w:t>
      </w:r>
      <w:r>
        <w:rPr>
          <w:sz w:val="24"/>
          <w:szCs w:val="24"/>
        </w:rPr>
        <w:t xml:space="preserve"> to “tenant” that he/she</w:t>
      </w:r>
      <w:r w:rsidR="008D1882">
        <w:rPr>
          <w:sz w:val="24"/>
          <w:szCs w:val="24"/>
        </w:rPr>
        <w:t>/it</w:t>
      </w:r>
      <w:r>
        <w:rPr>
          <w:sz w:val="24"/>
          <w:szCs w:val="24"/>
        </w:rPr>
        <w:t xml:space="preserve"> may legally initiate eviction proceedings/issue a notice to vacate </w:t>
      </w:r>
      <w:r w:rsidR="00AD272C">
        <w:rPr>
          <w:sz w:val="24"/>
          <w:szCs w:val="24"/>
        </w:rPr>
        <w:t>in violation of the tenant protections set forth in the Coronavirus Aid, Relief, and Economic Security (“CARES”) Act, H.R. 748, 116th Cong. § 4024 (2020).</w:t>
      </w:r>
      <w:r>
        <w:rPr>
          <w:sz w:val="24"/>
          <w:szCs w:val="24"/>
        </w:rPr>
        <w:t xml:space="preserve"> </w:t>
      </w:r>
      <w:r w:rsidR="00AD272C">
        <w:rPr>
          <w:sz w:val="24"/>
          <w:szCs w:val="24"/>
        </w:rPr>
        <w:t xml:space="preserve"> </w:t>
      </w:r>
      <w:proofErr w:type="gramStart"/>
      <w:r w:rsidR="00AD272C">
        <w:rPr>
          <w:sz w:val="24"/>
          <w:szCs w:val="24"/>
        </w:rPr>
        <w:t>(“CARES Act § 4024”)</w:t>
      </w:r>
      <w:r>
        <w:rPr>
          <w:sz w:val="24"/>
          <w:szCs w:val="24"/>
        </w:rPr>
        <w:t>.</w:t>
      </w:r>
      <w:proofErr w:type="gramEnd"/>
      <w:r>
        <w:rPr>
          <w:sz w:val="24"/>
          <w:szCs w:val="24"/>
        </w:rPr>
        <w:t xml:space="preserve"> </w:t>
      </w:r>
    </w:p>
    <w:p w14:paraId="261C41CD" w14:textId="77777777" w:rsidR="006077E2" w:rsidRDefault="006077E2" w:rsidP="006077E2">
      <w:pPr>
        <w:spacing w:line="480" w:lineRule="auto"/>
        <w:jc w:val="center"/>
        <w:rPr>
          <w:b/>
          <w:sz w:val="24"/>
          <w:szCs w:val="24"/>
        </w:rPr>
      </w:pPr>
      <w:r>
        <w:rPr>
          <w:b/>
          <w:sz w:val="24"/>
          <w:szCs w:val="24"/>
        </w:rPr>
        <w:t>JURISDICTION</w:t>
      </w:r>
    </w:p>
    <w:p w14:paraId="25151F0E" w14:textId="4D3223D8" w:rsidR="006077E2" w:rsidRDefault="006077E2" w:rsidP="006077E2">
      <w:pPr>
        <w:pStyle w:val="ListParagraph"/>
        <w:numPr>
          <w:ilvl w:val="0"/>
          <w:numId w:val="2"/>
        </w:numPr>
        <w:spacing w:line="480" w:lineRule="auto"/>
        <w:rPr>
          <w:sz w:val="24"/>
          <w:szCs w:val="24"/>
        </w:rPr>
      </w:pPr>
      <w:r>
        <w:rPr>
          <w:sz w:val="24"/>
          <w:szCs w:val="24"/>
        </w:rPr>
        <w:t>The Court has jurisdiction to hear the FDCPA claim pursuant to 15 U.S.C. §§ 1692(e) and 1692(f)</w:t>
      </w:r>
      <w:r w:rsidR="00AD272C">
        <w:rPr>
          <w:sz w:val="24"/>
          <w:szCs w:val="24"/>
        </w:rPr>
        <w:t xml:space="preserve"> and the court’s federal-question jurisdiction, 28 U.S.C. § 1331</w:t>
      </w:r>
      <w:r>
        <w:rPr>
          <w:sz w:val="24"/>
          <w:szCs w:val="24"/>
        </w:rPr>
        <w:t>. The Court has jurisdiction over the remaining state</w:t>
      </w:r>
      <w:r w:rsidR="00AD272C">
        <w:rPr>
          <w:sz w:val="24"/>
          <w:szCs w:val="24"/>
        </w:rPr>
        <w:t>-</w:t>
      </w:r>
      <w:r>
        <w:rPr>
          <w:sz w:val="24"/>
          <w:szCs w:val="24"/>
        </w:rPr>
        <w:t xml:space="preserve">law claims pursuant to 28 U.S.C. § 1367, as these claims </w:t>
      </w:r>
      <w:r w:rsidR="008A6B5F">
        <w:rPr>
          <w:sz w:val="24"/>
          <w:szCs w:val="24"/>
        </w:rPr>
        <w:t xml:space="preserve">are </w:t>
      </w:r>
      <w:r>
        <w:rPr>
          <w:sz w:val="24"/>
          <w:szCs w:val="24"/>
        </w:rPr>
        <w:t xml:space="preserve">so closely related to the FDCPA claims that they arise out of the same case or controversy. </w:t>
      </w:r>
    </w:p>
    <w:p w14:paraId="36551DCD" w14:textId="77777777" w:rsidR="008A6B5F" w:rsidRDefault="008A6B5F" w:rsidP="008A6B5F">
      <w:pPr>
        <w:spacing w:line="480" w:lineRule="auto"/>
        <w:jc w:val="center"/>
        <w:rPr>
          <w:b/>
          <w:sz w:val="24"/>
          <w:szCs w:val="24"/>
        </w:rPr>
      </w:pPr>
      <w:r>
        <w:rPr>
          <w:b/>
          <w:sz w:val="24"/>
          <w:szCs w:val="24"/>
        </w:rPr>
        <w:t>PARTIES</w:t>
      </w:r>
    </w:p>
    <w:p w14:paraId="7A650069" w14:textId="77777777" w:rsidR="008A6B5F" w:rsidRDefault="008A6B5F" w:rsidP="00623022">
      <w:pPr>
        <w:pStyle w:val="ListParagraph"/>
        <w:numPr>
          <w:ilvl w:val="0"/>
          <w:numId w:val="2"/>
        </w:numPr>
        <w:spacing w:line="480" w:lineRule="auto"/>
        <w:rPr>
          <w:sz w:val="24"/>
          <w:szCs w:val="24"/>
        </w:rPr>
      </w:pPr>
      <w:r>
        <w:rPr>
          <w:sz w:val="24"/>
          <w:szCs w:val="24"/>
        </w:rPr>
        <w:lastRenderedPageBreak/>
        <w:t>Plaintiff, “tenant,” is a [fill in with details: age, where they live, etc.]</w:t>
      </w:r>
    </w:p>
    <w:p w14:paraId="0FCDAC2A" w14:textId="77777777" w:rsidR="008A6B5F" w:rsidRDefault="008A6B5F" w:rsidP="00623022">
      <w:pPr>
        <w:pStyle w:val="ListParagraph"/>
        <w:numPr>
          <w:ilvl w:val="0"/>
          <w:numId w:val="2"/>
        </w:numPr>
        <w:spacing w:line="480" w:lineRule="auto"/>
        <w:rPr>
          <w:sz w:val="24"/>
          <w:szCs w:val="24"/>
        </w:rPr>
      </w:pPr>
      <w:r>
        <w:rPr>
          <w:sz w:val="24"/>
          <w:szCs w:val="24"/>
        </w:rPr>
        <w:t>Defendant, “landlord,” is a [fill in]</w:t>
      </w:r>
    </w:p>
    <w:p w14:paraId="60529003" w14:textId="77777777" w:rsidR="008A6B5F" w:rsidRDefault="008A6B5F" w:rsidP="00623022">
      <w:pPr>
        <w:pStyle w:val="ListParagraph"/>
        <w:numPr>
          <w:ilvl w:val="0"/>
          <w:numId w:val="2"/>
        </w:numPr>
        <w:spacing w:line="480" w:lineRule="auto"/>
        <w:rPr>
          <w:sz w:val="24"/>
          <w:szCs w:val="24"/>
        </w:rPr>
      </w:pPr>
      <w:r>
        <w:rPr>
          <w:sz w:val="24"/>
          <w:szCs w:val="24"/>
        </w:rPr>
        <w:t>[</w:t>
      </w:r>
      <w:proofErr w:type="gramStart"/>
      <w:r>
        <w:rPr>
          <w:sz w:val="24"/>
          <w:szCs w:val="24"/>
        </w:rPr>
        <w:t>fill</w:t>
      </w:r>
      <w:proofErr w:type="gramEnd"/>
      <w:r>
        <w:rPr>
          <w:sz w:val="24"/>
          <w:szCs w:val="24"/>
        </w:rPr>
        <w:t xml:space="preserve"> in info for any additional plaintiffs/defendants/relevant parties]</w:t>
      </w:r>
    </w:p>
    <w:p w14:paraId="5A6BAB3D" w14:textId="77777777" w:rsidR="00D20031" w:rsidRDefault="00D20031" w:rsidP="00D20031">
      <w:pPr>
        <w:pStyle w:val="ListParagraph"/>
        <w:spacing w:line="480" w:lineRule="auto"/>
        <w:ind w:left="360"/>
        <w:jc w:val="center"/>
        <w:rPr>
          <w:b/>
          <w:sz w:val="24"/>
          <w:szCs w:val="24"/>
        </w:rPr>
      </w:pPr>
      <w:r>
        <w:rPr>
          <w:b/>
          <w:sz w:val="24"/>
          <w:szCs w:val="24"/>
        </w:rPr>
        <w:t>STATEMENT OF FACTS</w:t>
      </w:r>
    </w:p>
    <w:p w14:paraId="6F952F6E" w14:textId="77777777" w:rsidR="00D20031" w:rsidRPr="00D20031" w:rsidRDefault="00D20031" w:rsidP="00623022">
      <w:pPr>
        <w:pStyle w:val="ListParagraph"/>
        <w:numPr>
          <w:ilvl w:val="0"/>
          <w:numId w:val="2"/>
        </w:numPr>
        <w:spacing w:line="480" w:lineRule="auto"/>
        <w:rPr>
          <w:sz w:val="24"/>
          <w:szCs w:val="24"/>
        </w:rPr>
      </w:pPr>
      <w:r>
        <w:rPr>
          <w:sz w:val="24"/>
          <w:szCs w:val="24"/>
        </w:rPr>
        <w:t xml:space="preserve">Plaintiff </w:t>
      </w:r>
      <w:r w:rsidRPr="00D20031">
        <w:rPr>
          <w:sz w:val="24"/>
          <w:szCs w:val="24"/>
        </w:rPr>
        <w:t xml:space="preserve">is a person of low-income and </w:t>
      </w:r>
      <w:r>
        <w:rPr>
          <w:sz w:val="24"/>
          <w:szCs w:val="24"/>
        </w:rPr>
        <w:t>resides as a tenant at</w:t>
      </w:r>
      <w:r w:rsidRPr="00D20031">
        <w:rPr>
          <w:sz w:val="24"/>
          <w:szCs w:val="24"/>
        </w:rPr>
        <w:t xml:space="preserve"> an apartment located at  . . </w:t>
      </w:r>
      <w:proofErr w:type="gramStart"/>
      <w:r w:rsidRPr="00D20031">
        <w:rPr>
          <w:sz w:val="24"/>
          <w:szCs w:val="24"/>
        </w:rPr>
        <w:t>. .</w:t>
      </w:r>
      <w:proofErr w:type="gramEnd"/>
      <w:r w:rsidRPr="00D20031">
        <w:rPr>
          <w:sz w:val="24"/>
          <w:szCs w:val="24"/>
        </w:rPr>
        <w:t xml:space="preserve"> (</w:t>
      </w:r>
      <w:proofErr w:type="gramStart"/>
      <w:r w:rsidRPr="00D20031">
        <w:rPr>
          <w:sz w:val="24"/>
          <w:szCs w:val="24"/>
        </w:rPr>
        <w:t>the</w:t>
      </w:r>
      <w:proofErr w:type="gramEnd"/>
      <w:r w:rsidRPr="00D20031">
        <w:rPr>
          <w:sz w:val="24"/>
          <w:szCs w:val="24"/>
        </w:rPr>
        <w:t xml:space="preserve"> “Apartment”). </w:t>
      </w:r>
      <w:r w:rsidRPr="00D20031">
        <w:rPr>
          <w:i/>
          <w:sz w:val="24"/>
          <w:szCs w:val="24"/>
        </w:rPr>
        <w:t>Affidavit</w:t>
      </w:r>
      <w:r w:rsidRPr="00D20031">
        <w:rPr>
          <w:sz w:val="24"/>
          <w:szCs w:val="24"/>
        </w:rPr>
        <w:t>.</w:t>
      </w:r>
    </w:p>
    <w:p w14:paraId="49497ADC" w14:textId="1796062A" w:rsidR="004D4699" w:rsidRPr="004D4699" w:rsidRDefault="004D4699" w:rsidP="00623022">
      <w:pPr>
        <w:pStyle w:val="ListParagraph"/>
        <w:numPr>
          <w:ilvl w:val="0"/>
          <w:numId w:val="2"/>
        </w:numPr>
        <w:spacing w:line="480" w:lineRule="auto"/>
        <w:rPr>
          <w:sz w:val="24"/>
          <w:szCs w:val="24"/>
        </w:rPr>
      </w:pPr>
      <w:r>
        <w:rPr>
          <w:sz w:val="24"/>
          <w:szCs w:val="24"/>
        </w:rPr>
        <w:t xml:space="preserve">Defendant </w:t>
      </w:r>
      <w:r w:rsidRPr="004D4699">
        <w:rPr>
          <w:sz w:val="24"/>
          <w:szCs w:val="24"/>
        </w:rPr>
        <w:t>owns and</w:t>
      </w:r>
      <w:r w:rsidR="00AD272C">
        <w:rPr>
          <w:sz w:val="24"/>
          <w:szCs w:val="24"/>
        </w:rPr>
        <w:t>/or</w:t>
      </w:r>
      <w:r w:rsidRPr="004D4699">
        <w:rPr>
          <w:sz w:val="24"/>
          <w:szCs w:val="24"/>
        </w:rPr>
        <w:t xml:space="preserve"> </w:t>
      </w:r>
      <w:r w:rsidR="00AD272C">
        <w:rPr>
          <w:sz w:val="24"/>
          <w:szCs w:val="24"/>
        </w:rPr>
        <w:t xml:space="preserve">manages </w:t>
      </w:r>
      <w:r w:rsidRPr="004D4699">
        <w:rPr>
          <w:sz w:val="24"/>
          <w:szCs w:val="24"/>
        </w:rPr>
        <w:t>the building where Tenant’s Apartment is located (the “Property”).</w:t>
      </w:r>
    </w:p>
    <w:p w14:paraId="22FB12FB" w14:textId="77777777" w:rsidR="004D4699" w:rsidRPr="004D4699" w:rsidRDefault="004D4699" w:rsidP="00623022">
      <w:pPr>
        <w:pStyle w:val="ListParagraph"/>
        <w:numPr>
          <w:ilvl w:val="0"/>
          <w:numId w:val="2"/>
        </w:numPr>
        <w:spacing w:line="480" w:lineRule="auto"/>
        <w:rPr>
          <w:sz w:val="24"/>
          <w:szCs w:val="24"/>
        </w:rPr>
      </w:pPr>
      <w:r>
        <w:rPr>
          <w:sz w:val="24"/>
          <w:szCs w:val="24"/>
        </w:rPr>
        <w:t>Plaintiff</w:t>
      </w:r>
      <w:r w:rsidRPr="004D4699">
        <w:rPr>
          <w:sz w:val="24"/>
          <w:szCs w:val="24"/>
        </w:rPr>
        <w:t xml:space="preserve"> is a participant in the United States Department of Housing and Urban Development’s (“HUD’s”) Housing Choice Voucher Program, administered in Chicago by the Chicago Housing Authority (“CHA”)</w:t>
      </w:r>
      <w:r w:rsidR="00AD272C">
        <w:rPr>
          <w:sz w:val="24"/>
          <w:szCs w:val="24"/>
        </w:rPr>
        <w:t xml:space="preserve"> / suburban Cook County by the Housing Authority of Cook County (“HACC”)</w:t>
      </w:r>
      <w:r w:rsidRPr="004D4699">
        <w:rPr>
          <w:sz w:val="24"/>
          <w:szCs w:val="24"/>
        </w:rPr>
        <w:t xml:space="preserve">. </w:t>
      </w:r>
      <w:r w:rsidRPr="004D4699">
        <w:rPr>
          <w:i/>
          <w:sz w:val="24"/>
          <w:szCs w:val="24"/>
        </w:rPr>
        <w:t>[Substitute any other “covered property” under the CARES Act, such as the HUD Project Based program, LIHTC, etc.] Affidavit.</w:t>
      </w:r>
    </w:p>
    <w:p w14:paraId="1513DE7C" w14:textId="717733ED" w:rsidR="004D4699" w:rsidRPr="004D4699" w:rsidRDefault="004D4699" w:rsidP="00623022">
      <w:pPr>
        <w:pStyle w:val="ListParagraph"/>
        <w:numPr>
          <w:ilvl w:val="0"/>
          <w:numId w:val="2"/>
        </w:numPr>
        <w:spacing w:line="480" w:lineRule="auto"/>
        <w:rPr>
          <w:sz w:val="24"/>
          <w:szCs w:val="24"/>
        </w:rPr>
      </w:pPr>
      <w:r w:rsidRPr="004D4699">
        <w:rPr>
          <w:sz w:val="24"/>
          <w:szCs w:val="24"/>
        </w:rPr>
        <w:t xml:space="preserve">Under the Voucher Program, CHA </w:t>
      </w:r>
      <w:r w:rsidR="00111590">
        <w:rPr>
          <w:sz w:val="24"/>
          <w:szCs w:val="24"/>
        </w:rPr>
        <w:t>and Defendant</w:t>
      </w:r>
      <w:r w:rsidRPr="004D4699">
        <w:rPr>
          <w:sz w:val="24"/>
          <w:szCs w:val="24"/>
        </w:rPr>
        <w:t xml:space="preserve"> entered into a contract in which they agreed upon the total monthly rent for the Apartment.</w:t>
      </w:r>
      <w:r w:rsidR="00111590">
        <w:rPr>
          <w:sz w:val="24"/>
          <w:szCs w:val="24"/>
        </w:rPr>
        <w:t xml:space="preserve"> CHA determine</w:t>
      </w:r>
      <w:r w:rsidR="00AD272C">
        <w:rPr>
          <w:sz w:val="24"/>
          <w:szCs w:val="24"/>
        </w:rPr>
        <w:t>s</w:t>
      </w:r>
      <w:r w:rsidR="00111590">
        <w:rPr>
          <w:sz w:val="24"/>
          <w:szCs w:val="24"/>
        </w:rPr>
        <w:t xml:space="preserve"> Plaintiff</w:t>
      </w:r>
      <w:r w:rsidRPr="004D4699">
        <w:rPr>
          <w:sz w:val="24"/>
          <w:szCs w:val="24"/>
        </w:rPr>
        <w:t>’s monthly portion of the total rent amount, based on her income. Pursuant</w:t>
      </w:r>
      <w:r w:rsidR="00111590">
        <w:rPr>
          <w:sz w:val="24"/>
          <w:szCs w:val="24"/>
        </w:rPr>
        <w:t xml:space="preserve"> to its contract with Defendant,</w:t>
      </w:r>
      <w:r w:rsidRPr="004D4699">
        <w:rPr>
          <w:sz w:val="24"/>
          <w:szCs w:val="24"/>
        </w:rPr>
        <w:t xml:space="preserve"> </w:t>
      </w:r>
      <w:r w:rsidR="00111590">
        <w:rPr>
          <w:sz w:val="24"/>
          <w:szCs w:val="24"/>
        </w:rPr>
        <w:t>CHA pays Defendant</w:t>
      </w:r>
      <w:r w:rsidRPr="004D4699">
        <w:rPr>
          <w:sz w:val="24"/>
          <w:szCs w:val="24"/>
        </w:rPr>
        <w:t xml:space="preserve"> the remaining amount of rent in a monthly housing assistance payment.  </w:t>
      </w:r>
    </w:p>
    <w:p w14:paraId="364AF079" w14:textId="77777777" w:rsidR="004D4699" w:rsidRPr="004D4699" w:rsidRDefault="00111590" w:rsidP="00623022">
      <w:pPr>
        <w:pStyle w:val="ListParagraph"/>
        <w:numPr>
          <w:ilvl w:val="0"/>
          <w:numId w:val="2"/>
        </w:numPr>
        <w:spacing w:line="480" w:lineRule="auto"/>
        <w:rPr>
          <w:sz w:val="24"/>
          <w:szCs w:val="24"/>
        </w:rPr>
      </w:pPr>
      <w:r>
        <w:rPr>
          <w:sz w:val="24"/>
          <w:szCs w:val="24"/>
        </w:rPr>
        <w:t>Plaintiff</w:t>
      </w:r>
      <w:r w:rsidR="004D4699" w:rsidRPr="004D4699">
        <w:rPr>
          <w:sz w:val="24"/>
          <w:szCs w:val="24"/>
        </w:rPr>
        <w:t xml:space="preserve">’s monthly rent portion, based on her income prior to the advent of the COVID-19 pandemic, is $300. Tenant last paid rent on March 1, 2020, and had no outstanding balance at the time. </w:t>
      </w:r>
      <w:r w:rsidR="004D4699" w:rsidRPr="004D4699">
        <w:rPr>
          <w:i/>
          <w:sz w:val="24"/>
          <w:szCs w:val="24"/>
        </w:rPr>
        <w:t xml:space="preserve">[This motion could also be successful in cases where the tenant did </w:t>
      </w:r>
      <w:r w:rsidR="004D4699" w:rsidRPr="004D4699">
        <w:rPr>
          <w:b/>
          <w:i/>
          <w:sz w:val="24"/>
          <w:szCs w:val="24"/>
        </w:rPr>
        <w:t>not</w:t>
      </w:r>
      <w:r w:rsidR="004D4699" w:rsidRPr="004D4699">
        <w:rPr>
          <w:i/>
          <w:sz w:val="24"/>
          <w:szCs w:val="24"/>
        </w:rPr>
        <w:t xml:space="preserve"> have a $0 balance when the financial hardship struck, but landlord hadn’t given her any notice. Another common fact scenario may be that the tenant was previously behind on rent, had </w:t>
      </w:r>
      <w:r w:rsidR="004D4699" w:rsidRPr="004D4699">
        <w:rPr>
          <w:i/>
          <w:sz w:val="24"/>
          <w:szCs w:val="24"/>
        </w:rPr>
        <w:lastRenderedPageBreak/>
        <w:t>agreed to a repayment plan, but became unable to make the repayments due to financial hardship caused by COVID-19.] Affidavit.</w:t>
      </w:r>
    </w:p>
    <w:p w14:paraId="73F818FC" w14:textId="77777777" w:rsidR="004D4699" w:rsidRPr="004D4699" w:rsidRDefault="004D4699" w:rsidP="00623022">
      <w:pPr>
        <w:pStyle w:val="ListParagraph"/>
        <w:numPr>
          <w:ilvl w:val="0"/>
          <w:numId w:val="2"/>
        </w:numPr>
        <w:spacing w:line="480" w:lineRule="auto"/>
        <w:rPr>
          <w:sz w:val="24"/>
          <w:szCs w:val="24"/>
        </w:rPr>
      </w:pPr>
      <w:r w:rsidRPr="004D4699">
        <w:rPr>
          <w:sz w:val="24"/>
          <w:szCs w:val="24"/>
        </w:rPr>
        <w:t xml:space="preserve">Beginning in </w:t>
      </w:r>
      <w:r w:rsidR="00111590">
        <w:rPr>
          <w:sz w:val="24"/>
          <w:szCs w:val="24"/>
        </w:rPr>
        <w:t>March 2017, Plaintiff</w:t>
      </w:r>
      <w:r w:rsidRPr="004D4699">
        <w:rPr>
          <w:sz w:val="24"/>
          <w:szCs w:val="24"/>
        </w:rPr>
        <w:t xml:space="preserve"> worked as a part-time security guard for XYZ. </w:t>
      </w:r>
      <w:r w:rsidRPr="004D4699">
        <w:rPr>
          <w:i/>
          <w:sz w:val="24"/>
          <w:szCs w:val="24"/>
        </w:rPr>
        <w:t>Affidavit.</w:t>
      </w:r>
    </w:p>
    <w:p w14:paraId="0FE3833F" w14:textId="050FED8F" w:rsidR="004D4699" w:rsidRPr="00623022" w:rsidRDefault="004D4699" w:rsidP="00623022">
      <w:pPr>
        <w:pStyle w:val="ListParagraph"/>
        <w:numPr>
          <w:ilvl w:val="0"/>
          <w:numId w:val="2"/>
        </w:numPr>
        <w:spacing w:line="480" w:lineRule="auto"/>
        <w:rPr>
          <w:sz w:val="24"/>
          <w:szCs w:val="24"/>
        </w:rPr>
      </w:pPr>
      <w:r w:rsidRPr="004D4699">
        <w:rPr>
          <w:sz w:val="24"/>
          <w:szCs w:val="24"/>
        </w:rPr>
        <w:t xml:space="preserve">On March 27, 2020, the federal CARES Act </w:t>
      </w:r>
      <w:r w:rsidR="00AD272C">
        <w:rPr>
          <w:sz w:val="24"/>
          <w:szCs w:val="24"/>
        </w:rPr>
        <w:t>was enacted</w:t>
      </w:r>
      <w:r w:rsidRPr="004D4699">
        <w:rPr>
          <w:sz w:val="24"/>
          <w:szCs w:val="24"/>
        </w:rPr>
        <w:t>, providing aid and relief to those affected by the COVID-19 pandemic.</w:t>
      </w:r>
    </w:p>
    <w:p w14:paraId="262EB991" w14:textId="4F192E23" w:rsidR="004D4699" w:rsidRPr="00623022" w:rsidRDefault="004D4699" w:rsidP="00623022">
      <w:pPr>
        <w:pStyle w:val="ListParagraph"/>
        <w:numPr>
          <w:ilvl w:val="0"/>
          <w:numId w:val="2"/>
        </w:numPr>
        <w:spacing w:line="480" w:lineRule="auto"/>
        <w:rPr>
          <w:sz w:val="24"/>
          <w:szCs w:val="24"/>
        </w:rPr>
      </w:pPr>
      <w:r w:rsidRPr="004D4699">
        <w:rPr>
          <w:sz w:val="24"/>
          <w:szCs w:val="24"/>
        </w:rPr>
        <w:t xml:space="preserve">The CARES Act provides particular relief to any tenant who occupies a “covered dwelling” in or </w:t>
      </w:r>
      <w:r w:rsidR="00AD272C">
        <w:rPr>
          <w:sz w:val="24"/>
          <w:szCs w:val="24"/>
        </w:rPr>
        <w:t xml:space="preserve">resides </w:t>
      </w:r>
      <w:r w:rsidRPr="004D4699">
        <w:rPr>
          <w:sz w:val="24"/>
          <w:szCs w:val="24"/>
        </w:rPr>
        <w:t xml:space="preserve">on a “covered property” as defined in the Act. </w:t>
      </w:r>
      <w:r w:rsidR="00AD272C">
        <w:rPr>
          <w:sz w:val="24"/>
          <w:szCs w:val="24"/>
        </w:rPr>
        <w:t xml:space="preserve">CARES Act </w:t>
      </w:r>
      <w:proofErr w:type="gramStart"/>
      <w:r w:rsidR="00AD272C">
        <w:rPr>
          <w:sz w:val="24"/>
          <w:szCs w:val="24"/>
        </w:rPr>
        <w:t xml:space="preserve">§ </w:t>
      </w:r>
      <w:r w:rsidRPr="004D4699">
        <w:rPr>
          <w:sz w:val="24"/>
          <w:szCs w:val="24"/>
        </w:rPr>
        <w:t xml:space="preserve"> 4024</w:t>
      </w:r>
      <w:proofErr w:type="gramEnd"/>
      <w:r w:rsidRPr="004D4699">
        <w:rPr>
          <w:sz w:val="24"/>
          <w:szCs w:val="24"/>
        </w:rPr>
        <w:t xml:space="preserve">(a)(1). </w:t>
      </w:r>
    </w:p>
    <w:p w14:paraId="6991B38F" w14:textId="77777777" w:rsidR="004D4699" w:rsidRPr="004D4699" w:rsidRDefault="004D4699" w:rsidP="00623022">
      <w:pPr>
        <w:pStyle w:val="ListParagraph"/>
        <w:numPr>
          <w:ilvl w:val="0"/>
          <w:numId w:val="2"/>
        </w:numPr>
        <w:spacing w:line="480" w:lineRule="auto"/>
        <w:rPr>
          <w:i/>
          <w:sz w:val="24"/>
          <w:szCs w:val="24"/>
        </w:rPr>
      </w:pPr>
      <w:r w:rsidRPr="004D4699">
        <w:rPr>
          <w:sz w:val="24"/>
          <w:szCs w:val="24"/>
        </w:rPr>
        <w:t>A “covered property” is any property that:</w:t>
      </w:r>
    </w:p>
    <w:p w14:paraId="15A26485" w14:textId="77777777" w:rsidR="004D4699" w:rsidRPr="004D4699" w:rsidRDefault="004D4699" w:rsidP="004D4699">
      <w:pPr>
        <w:pStyle w:val="ListParagraph"/>
        <w:numPr>
          <w:ilvl w:val="0"/>
          <w:numId w:val="7"/>
        </w:numPr>
        <w:rPr>
          <w:sz w:val="24"/>
          <w:szCs w:val="24"/>
        </w:rPr>
      </w:pPr>
      <w:r w:rsidRPr="004D4699">
        <w:rPr>
          <w:sz w:val="24"/>
          <w:szCs w:val="24"/>
        </w:rPr>
        <w:t>Receives federal funding through Low Income Housing Tax Credits; the Housing Choice Voucher, Project Based Voucher, or Rural Housing Voucher programs; Public Housing programs; Project Based Section 8 contracts; HOME; Housing Opportunities for Persons with AIDS; Veterans Affairs Supportive Housing; or Continuum of Care Program funds, OR,</w:t>
      </w:r>
    </w:p>
    <w:p w14:paraId="11F7078E" w14:textId="77777777" w:rsidR="004D4699" w:rsidRPr="004D4699" w:rsidRDefault="004D4699" w:rsidP="004D4699">
      <w:pPr>
        <w:pStyle w:val="ListParagraph"/>
        <w:rPr>
          <w:sz w:val="24"/>
          <w:szCs w:val="24"/>
        </w:rPr>
      </w:pPr>
    </w:p>
    <w:p w14:paraId="4CE97FC4" w14:textId="77777777" w:rsidR="004D4699" w:rsidRPr="004D4699" w:rsidRDefault="004D4699" w:rsidP="004D4699">
      <w:pPr>
        <w:pStyle w:val="ListParagraph"/>
        <w:numPr>
          <w:ilvl w:val="0"/>
          <w:numId w:val="7"/>
        </w:numPr>
        <w:rPr>
          <w:sz w:val="24"/>
          <w:szCs w:val="24"/>
        </w:rPr>
      </w:pPr>
      <w:r w:rsidRPr="004D4699">
        <w:rPr>
          <w:sz w:val="24"/>
          <w:szCs w:val="24"/>
        </w:rPr>
        <w:t>Has a mortgage insured by, provided by, or guaranteed by the FHA, HUD, the Department of Veterans Affairs, and/or the Department of Agriculture, OR,</w:t>
      </w:r>
    </w:p>
    <w:p w14:paraId="34D77059" w14:textId="77777777" w:rsidR="004D4699" w:rsidRPr="004D4699" w:rsidRDefault="004D4699" w:rsidP="004D4699">
      <w:pPr>
        <w:rPr>
          <w:sz w:val="24"/>
          <w:szCs w:val="24"/>
        </w:rPr>
      </w:pPr>
    </w:p>
    <w:p w14:paraId="47FDE09F" w14:textId="77777777" w:rsidR="004D4699" w:rsidRPr="004D4699" w:rsidRDefault="004D4699" w:rsidP="004D4699">
      <w:pPr>
        <w:pStyle w:val="ListParagraph"/>
        <w:numPr>
          <w:ilvl w:val="0"/>
          <w:numId w:val="7"/>
        </w:numPr>
        <w:spacing w:line="480" w:lineRule="auto"/>
        <w:rPr>
          <w:sz w:val="24"/>
          <w:szCs w:val="24"/>
        </w:rPr>
      </w:pPr>
      <w:r w:rsidRPr="004D4699">
        <w:rPr>
          <w:sz w:val="24"/>
          <w:szCs w:val="24"/>
        </w:rPr>
        <w:t>Has a mortgage owned by Fannie Mae or Freddie Mac.</w:t>
      </w:r>
    </w:p>
    <w:p w14:paraId="719F08E1" w14:textId="140BCE7B" w:rsidR="004D4699" w:rsidRPr="004D4699" w:rsidRDefault="00AD272C" w:rsidP="004D4699">
      <w:pPr>
        <w:spacing w:line="480" w:lineRule="auto"/>
        <w:rPr>
          <w:i/>
          <w:sz w:val="24"/>
          <w:szCs w:val="24"/>
        </w:rPr>
      </w:pPr>
      <w:r>
        <w:rPr>
          <w:sz w:val="24"/>
          <w:szCs w:val="24"/>
        </w:rPr>
        <w:t>CARES Act §</w:t>
      </w:r>
      <w:r w:rsidR="004D4699" w:rsidRPr="004D4699">
        <w:rPr>
          <w:sz w:val="24"/>
          <w:szCs w:val="24"/>
        </w:rPr>
        <w:t xml:space="preserve"> 4024(a)(2). </w:t>
      </w:r>
      <w:r w:rsidR="004D4699" w:rsidRPr="004D4699">
        <w:rPr>
          <w:i/>
          <w:sz w:val="24"/>
          <w:szCs w:val="24"/>
        </w:rPr>
        <w:t>[I’m leaving the entire definition of covered property here, but each drafter may want to select the part of the definition that applies to the case at hand rather than use the entire definition.]</w:t>
      </w:r>
    </w:p>
    <w:p w14:paraId="7D2486C3" w14:textId="23FD0F64" w:rsidR="004D4699" w:rsidRPr="004D4699" w:rsidRDefault="004D4699" w:rsidP="00623022">
      <w:pPr>
        <w:pStyle w:val="ListParagraph"/>
        <w:numPr>
          <w:ilvl w:val="0"/>
          <w:numId w:val="2"/>
        </w:numPr>
        <w:spacing w:line="480" w:lineRule="auto"/>
        <w:rPr>
          <w:i/>
          <w:sz w:val="24"/>
          <w:szCs w:val="24"/>
        </w:rPr>
      </w:pPr>
      <w:r w:rsidRPr="004D4699">
        <w:rPr>
          <w:sz w:val="24"/>
          <w:szCs w:val="24"/>
        </w:rPr>
        <w:t xml:space="preserve">Under the CARES Act, a lessor of a covered dwelling “may not make or cause to be made, any filing with the court of jurisdiction to initiate a legal action to recover possession of the covered dwelling from the tenant for nonpayment of rent or other fees or charges” through July 25, 2020. </w:t>
      </w:r>
      <w:r w:rsidR="00B56C8D">
        <w:rPr>
          <w:sz w:val="24"/>
          <w:szCs w:val="24"/>
        </w:rPr>
        <w:t>CARES Act §</w:t>
      </w:r>
      <w:r w:rsidRPr="004D4699">
        <w:rPr>
          <w:sz w:val="24"/>
          <w:szCs w:val="24"/>
        </w:rPr>
        <w:t xml:space="preserve"> 4024(b)(1).</w:t>
      </w:r>
    </w:p>
    <w:p w14:paraId="7D52DDBF" w14:textId="3E44267A" w:rsidR="004D4699" w:rsidRPr="004D4699" w:rsidRDefault="004D4699" w:rsidP="00623022">
      <w:pPr>
        <w:pStyle w:val="ListParagraph"/>
        <w:numPr>
          <w:ilvl w:val="0"/>
          <w:numId w:val="2"/>
        </w:numPr>
        <w:spacing w:line="480" w:lineRule="auto"/>
        <w:rPr>
          <w:i/>
          <w:sz w:val="24"/>
          <w:szCs w:val="24"/>
        </w:rPr>
      </w:pPr>
      <w:r w:rsidRPr="004D4699">
        <w:rPr>
          <w:sz w:val="24"/>
          <w:szCs w:val="24"/>
        </w:rPr>
        <w:t xml:space="preserve">The CARES Act also prohibits a lessor of a covered dwelling from issuing a notice to vacate through July 25, 2020. </w:t>
      </w:r>
      <w:r w:rsidR="00B56C8D">
        <w:rPr>
          <w:sz w:val="24"/>
          <w:szCs w:val="24"/>
        </w:rPr>
        <w:t xml:space="preserve">CARES Act § </w:t>
      </w:r>
      <w:r w:rsidRPr="004D4699">
        <w:rPr>
          <w:sz w:val="24"/>
          <w:szCs w:val="24"/>
        </w:rPr>
        <w:t xml:space="preserve">4024(c)(2). </w:t>
      </w:r>
    </w:p>
    <w:p w14:paraId="6F11F2C7" w14:textId="77777777" w:rsidR="004D4699" w:rsidRPr="00623022" w:rsidRDefault="00111590" w:rsidP="00623022">
      <w:pPr>
        <w:pStyle w:val="ListParagraph"/>
        <w:numPr>
          <w:ilvl w:val="0"/>
          <w:numId w:val="2"/>
        </w:numPr>
        <w:spacing w:line="480" w:lineRule="auto"/>
        <w:rPr>
          <w:sz w:val="24"/>
          <w:szCs w:val="24"/>
        </w:rPr>
      </w:pPr>
      <w:r>
        <w:rPr>
          <w:sz w:val="24"/>
          <w:szCs w:val="24"/>
        </w:rPr>
        <w:t>Plaintiff</w:t>
      </w:r>
      <w:r w:rsidR="004D4699" w:rsidRPr="004D4699">
        <w:rPr>
          <w:sz w:val="24"/>
          <w:szCs w:val="24"/>
        </w:rPr>
        <w:t xml:space="preserve">’s Apartment is a covered dwelling within the meaning of the CARES Act because </w:t>
      </w:r>
      <w:r>
        <w:rPr>
          <w:sz w:val="24"/>
          <w:szCs w:val="24"/>
        </w:rPr>
        <w:lastRenderedPageBreak/>
        <w:t>Defendant</w:t>
      </w:r>
      <w:r w:rsidR="004D4699" w:rsidRPr="004D4699">
        <w:rPr>
          <w:sz w:val="24"/>
          <w:szCs w:val="24"/>
        </w:rPr>
        <w:t xml:space="preserve"> receives subsidy payments from CHA under the federal Housing Choice Voucher Program.</w:t>
      </w:r>
    </w:p>
    <w:p w14:paraId="1E9BA904" w14:textId="77777777" w:rsidR="004D4699" w:rsidRPr="004D4699" w:rsidRDefault="004D4699" w:rsidP="00623022">
      <w:pPr>
        <w:pStyle w:val="ListParagraph"/>
        <w:numPr>
          <w:ilvl w:val="0"/>
          <w:numId w:val="2"/>
        </w:numPr>
        <w:spacing w:line="480" w:lineRule="auto"/>
        <w:rPr>
          <w:i/>
          <w:sz w:val="24"/>
          <w:szCs w:val="24"/>
        </w:rPr>
      </w:pPr>
      <w:r w:rsidRPr="004D4699">
        <w:rPr>
          <w:sz w:val="24"/>
          <w:szCs w:val="24"/>
        </w:rPr>
        <w:t>Beginning in [month/date]</w:t>
      </w:r>
      <w:r w:rsidR="00111590">
        <w:rPr>
          <w:sz w:val="24"/>
          <w:szCs w:val="24"/>
        </w:rPr>
        <w:t>, Plaintiff</w:t>
      </w:r>
      <w:r w:rsidRPr="004D4699">
        <w:rPr>
          <w:sz w:val="24"/>
          <w:szCs w:val="24"/>
        </w:rPr>
        <w:t xml:space="preserve"> could not afford to pay her rent because the COVID-19 pandemic caused her employer XYZ to lay her off and suspend her wages. </w:t>
      </w:r>
      <w:r w:rsidRPr="004D4699">
        <w:rPr>
          <w:i/>
          <w:sz w:val="24"/>
          <w:szCs w:val="24"/>
        </w:rPr>
        <w:t>Affidavit</w:t>
      </w:r>
      <w:r w:rsidRPr="004D4699">
        <w:rPr>
          <w:sz w:val="24"/>
          <w:szCs w:val="24"/>
        </w:rPr>
        <w:t xml:space="preserve">. </w:t>
      </w:r>
    </w:p>
    <w:p w14:paraId="54AFC782" w14:textId="77777777" w:rsidR="004D4699" w:rsidRPr="004D4699" w:rsidRDefault="004D4699" w:rsidP="00623022">
      <w:pPr>
        <w:pStyle w:val="ListParagraph"/>
        <w:numPr>
          <w:ilvl w:val="0"/>
          <w:numId w:val="2"/>
        </w:numPr>
        <w:spacing w:line="480" w:lineRule="auto"/>
        <w:rPr>
          <w:i/>
          <w:sz w:val="24"/>
          <w:szCs w:val="24"/>
        </w:rPr>
      </w:pPr>
      <w:r w:rsidRPr="004D4699">
        <w:rPr>
          <w:sz w:val="24"/>
          <w:szCs w:val="24"/>
        </w:rPr>
        <w:t>On [date]</w:t>
      </w:r>
      <w:r w:rsidR="00111590">
        <w:rPr>
          <w:sz w:val="24"/>
          <w:szCs w:val="24"/>
        </w:rPr>
        <w:t>, Defendant</w:t>
      </w:r>
      <w:r w:rsidRPr="004D4699">
        <w:rPr>
          <w:sz w:val="24"/>
          <w:szCs w:val="24"/>
        </w:rPr>
        <w:t xml:space="preserve"> handed Tenant a 30-Day Notice to Vacate the Apartment. A true and correct copy of the Notice to Vacate is attached as Exhibit B</w:t>
      </w:r>
      <w:proofErr w:type="gramStart"/>
      <w:r w:rsidRPr="004D4699">
        <w:rPr>
          <w:sz w:val="24"/>
          <w:szCs w:val="24"/>
        </w:rPr>
        <w:t>;</w:t>
      </w:r>
      <w:proofErr w:type="gramEnd"/>
      <w:r w:rsidRPr="004D4699">
        <w:rPr>
          <w:sz w:val="24"/>
          <w:szCs w:val="24"/>
        </w:rPr>
        <w:t xml:space="preserve"> </w:t>
      </w:r>
      <w:r w:rsidRPr="004D4699">
        <w:rPr>
          <w:i/>
          <w:sz w:val="24"/>
          <w:szCs w:val="24"/>
        </w:rPr>
        <w:t>Affidavit</w:t>
      </w:r>
      <w:r w:rsidRPr="004D4699">
        <w:rPr>
          <w:sz w:val="24"/>
          <w:szCs w:val="24"/>
        </w:rPr>
        <w:t>.</w:t>
      </w:r>
    </w:p>
    <w:p w14:paraId="7685A3E2" w14:textId="77777777" w:rsidR="004D4699" w:rsidRPr="00111590" w:rsidRDefault="004D4699" w:rsidP="00623022">
      <w:pPr>
        <w:pStyle w:val="ListParagraph"/>
        <w:numPr>
          <w:ilvl w:val="0"/>
          <w:numId w:val="2"/>
        </w:numPr>
        <w:spacing w:line="480" w:lineRule="auto"/>
        <w:rPr>
          <w:i/>
          <w:sz w:val="24"/>
          <w:szCs w:val="24"/>
        </w:rPr>
      </w:pPr>
      <w:r w:rsidRPr="004D4699">
        <w:rPr>
          <w:sz w:val="24"/>
          <w:szCs w:val="24"/>
        </w:rPr>
        <w:t>On [date]</w:t>
      </w:r>
      <w:r w:rsidR="00111590">
        <w:rPr>
          <w:sz w:val="24"/>
          <w:szCs w:val="24"/>
        </w:rPr>
        <w:t>, Defendant filed an</w:t>
      </w:r>
      <w:r w:rsidRPr="004D4699">
        <w:rPr>
          <w:sz w:val="24"/>
          <w:szCs w:val="24"/>
        </w:rPr>
        <w:t xml:space="preserve"> eviction complaint.</w:t>
      </w:r>
    </w:p>
    <w:p w14:paraId="7FED1740" w14:textId="77777777" w:rsidR="00111590" w:rsidRPr="00623022" w:rsidRDefault="00111590" w:rsidP="00623022">
      <w:pPr>
        <w:spacing w:line="480" w:lineRule="auto"/>
        <w:jc w:val="center"/>
        <w:rPr>
          <w:sz w:val="24"/>
          <w:szCs w:val="24"/>
        </w:rPr>
      </w:pPr>
    </w:p>
    <w:p w14:paraId="45A1DFB8" w14:textId="640C9958" w:rsidR="00111590" w:rsidRDefault="00111590" w:rsidP="00111590">
      <w:pPr>
        <w:pStyle w:val="ListParagraph"/>
        <w:spacing w:line="480" w:lineRule="auto"/>
        <w:ind w:left="360"/>
        <w:jc w:val="center"/>
        <w:rPr>
          <w:b/>
          <w:sz w:val="24"/>
          <w:szCs w:val="24"/>
        </w:rPr>
      </w:pPr>
      <w:r>
        <w:rPr>
          <w:b/>
          <w:sz w:val="24"/>
          <w:szCs w:val="24"/>
        </w:rPr>
        <w:t>VIOLATION</w:t>
      </w:r>
      <w:r w:rsidR="008D1882">
        <w:rPr>
          <w:b/>
          <w:sz w:val="24"/>
          <w:szCs w:val="24"/>
        </w:rPr>
        <w:t>S</w:t>
      </w:r>
      <w:r>
        <w:rPr>
          <w:b/>
          <w:sz w:val="24"/>
          <w:szCs w:val="24"/>
        </w:rPr>
        <w:t xml:space="preserve"> OF FDCPA</w:t>
      </w:r>
      <w:r w:rsidR="00785174">
        <w:rPr>
          <w:b/>
          <w:sz w:val="24"/>
          <w:szCs w:val="24"/>
        </w:rPr>
        <w:t xml:space="preserve"> </w:t>
      </w:r>
      <w:r w:rsidR="00785174" w:rsidRPr="00623022">
        <w:rPr>
          <w:b/>
          <w:color w:val="FF0000"/>
          <w:sz w:val="24"/>
          <w:szCs w:val="24"/>
        </w:rPr>
        <w:t>[</w:t>
      </w:r>
      <w:commentRangeStart w:id="1"/>
      <w:r w:rsidR="00785174" w:rsidRPr="00623022">
        <w:rPr>
          <w:b/>
          <w:color w:val="FF0000"/>
          <w:sz w:val="24"/>
          <w:szCs w:val="24"/>
        </w:rPr>
        <w:t>ONLY FOR DEFENDANTS COLLECTING RENT ON BEHALF OF ANOTHER PERSON</w:t>
      </w:r>
      <w:commentRangeEnd w:id="1"/>
      <w:r w:rsidR="00785174">
        <w:rPr>
          <w:rStyle w:val="CommentReference"/>
        </w:rPr>
        <w:commentReference w:id="1"/>
      </w:r>
      <w:r w:rsidR="00785174" w:rsidRPr="00623022">
        <w:rPr>
          <w:b/>
          <w:color w:val="FF0000"/>
          <w:sz w:val="24"/>
          <w:szCs w:val="24"/>
        </w:rPr>
        <w:t>]</w:t>
      </w:r>
    </w:p>
    <w:p w14:paraId="6E107E37" w14:textId="77777777" w:rsidR="002340CD" w:rsidRDefault="002340CD" w:rsidP="00623022">
      <w:pPr>
        <w:pStyle w:val="ListParagraph"/>
        <w:numPr>
          <w:ilvl w:val="0"/>
          <w:numId w:val="2"/>
        </w:numPr>
        <w:spacing w:line="480" w:lineRule="auto"/>
        <w:rPr>
          <w:sz w:val="24"/>
          <w:szCs w:val="24"/>
        </w:rPr>
      </w:pPr>
      <w:r>
        <w:rPr>
          <w:sz w:val="24"/>
          <w:szCs w:val="24"/>
        </w:rPr>
        <w:t xml:space="preserve">The Federal Debt Collection Practice Act (Act) prohibits debt collectors from making false, </w:t>
      </w:r>
      <w:r w:rsidR="008D1882">
        <w:rPr>
          <w:sz w:val="24"/>
          <w:szCs w:val="24"/>
        </w:rPr>
        <w:t>misleading</w:t>
      </w:r>
      <w:r w:rsidR="00B56C8D">
        <w:rPr>
          <w:sz w:val="24"/>
          <w:szCs w:val="24"/>
        </w:rPr>
        <w:t>,</w:t>
      </w:r>
      <w:r w:rsidR="008D1882">
        <w:rPr>
          <w:sz w:val="24"/>
          <w:szCs w:val="24"/>
        </w:rPr>
        <w:t xml:space="preserve"> </w:t>
      </w:r>
      <w:r>
        <w:rPr>
          <w:sz w:val="24"/>
          <w:szCs w:val="24"/>
        </w:rPr>
        <w:t>or deceptive representations</w:t>
      </w:r>
      <w:r w:rsidR="008D1882">
        <w:rPr>
          <w:sz w:val="24"/>
          <w:szCs w:val="24"/>
        </w:rPr>
        <w:t xml:space="preserve"> to debtors in connection with a debt</w:t>
      </w:r>
      <w:r>
        <w:rPr>
          <w:sz w:val="24"/>
          <w:szCs w:val="24"/>
        </w:rPr>
        <w:t xml:space="preserve">. 15 U.S.C. § 1692(e). </w:t>
      </w:r>
    </w:p>
    <w:p w14:paraId="09C70529" w14:textId="77777777" w:rsidR="002340CD" w:rsidRDefault="008D1882" w:rsidP="00623022">
      <w:pPr>
        <w:pStyle w:val="ListParagraph"/>
        <w:numPr>
          <w:ilvl w:val="0"/>
          <w:numId w:val="2"/>
        </w:numPr>
        <w:spacing w:line="480" w:lineRule="auto"/>
        <w:rPr>
          <w:sz w:val="24"/>
          <w:szCs w:val="24"/>
        </w:rPr>
      </w:pPr>
      <w:r>
        <w:rPr>
          <w:sz w:val="24"/>
          <w:szCs w:val="24"/>
        </w:rPr>
        <w:t>Moreover, s</w:t>
      </w:r>
      <w:r w:rsidR="002340CD">
        <w:rPr>
          <w:sz w:val="24"/>
          <w:szCs w:val="24"/>
        </w:rPr>
        <w:t>ubsection (5) of § 1692(e)</w:t>
      </w:r>
      <w:r>
        <w:rPr>
          <w:sz w:val="24"/>
          <w:szCs w:val="24"/>
        </w:rPr>
        <w:t xml:space="preserve"> expressly prohibits “the threat to take any action that cannot legally be taken or that is not intended to be taken.”</w:t>
      </w:r>
    </w:p>
    <w:p w14:paraId="331DAF11" w14:textId="77777777" w:rsidR="004D4699" w:rsidRPr="004A0B8B" w:rsidRDefault="004A0B8B" w:rsidP="00623022">
      <w:pPr>
        <w:pStyle w:val="ListParagraph"/>
        <w:numPr>
          <w:ilvl w:val="0"/>
          <w:numId w:val="2"/>
        </w:numPr>
        <w:spacing w:line="480" w:lineRule="auto"/>
        <w:rPr>
          <w:sz w:val="24"/>
          <w:szCs w:val="24"/>
        </w:rPr>
      </w:pPr>
      <w:r>
        <w:rPr>
          <w:sz w:val="24"/>
          <w:szCs w:val="24"/>
        </w:rPr>
        <w:t>“Landlord”</w:t>
      </w:r>
      <w:r w:rsidR="002340CD" w:rsidRPr="008D1882">
        <w:rPr>
          <w:sz w:val="24"/>
          <w:szCs w:val="24"/>
        </w:rPr>
        <w:t xml:space="preserve"> is a debt collector under th</w:t>
      </w:r>
      <w:r w:rsidR="008D1882" w:rsidRPr="008D1882">
        <w:rPr>
          <w:sz w:val="24"/>
          <w:szCs w:val="24"/>
        </w:rPr>
        <w:t xml:space="preserve">e Act, because </w:t>
      </w:r>
      <w:r w:rsidR="008D1882">
        <w:rPr>
          <w:sz w:val="24"/>
          <w:szCs w:val="24"/>
        </w:rPr>
        <w:t>that term includes “any person</w:t>
      </w:r>
      <w:r w:rsidR="00B56C8D">
        <w:rPr>
          <w:sz w:val="24"/>
          <w:szCs w:val="24"/>
        </w:rPr>
        <w:t xml:space="preserve"> </w:t>
      </w:r>
      <w:r w:rsidR="008D1882">
        <w:rPr>
          <w:sz w:val="24"/>
          <w:szCs w:val="24"/>
        </w:rPr>
        <w:t>…</w:t>
      </w:r>
      <w:r w:rsidR="00B56C8D">
        <w:rPr>
          <w:sz w:val="24"/>
          <w:szCs w:val="24"/>
        </w:rPr>
        <w:t xml:space="preserve"> </w:t>
      </w:r>
      <w:r w:rsidR="008D1882">
        <w:rPr>
          <w:sz w:val="24"/>
          <w:szCs w:val="24"/>
        </w:rPr>
        <w:t>who regularly collects or attempts to collect, directly or indirectly, debts owed or due or asserted to be owed or due another.” 15 U.S.C. § 1692</w:t>
      </w:r>
      <w:r>
        <w:rPr>
          <w:sz w:val="24"/>
          <w:szCs w:val="24"/>
        </w:rPr>
        <w:t>(a</w:t>
      </w:r>
      <w:r w:rsidR="008D1882">
        <w:rPr>
          <w:sz w:val="24"/>
          <w:szCs w:val="24"/>
        </w:rPr>
        <w:t xml:space="preserve">). Under the Act, “debt” refers to </w:t>
      </w:r>
      <w:r>
        <w:rPr>
          <w:sz w:val="24"/>
          <w:szCs w:val="24"/>
        </w:rPr>
        <w:t>“</w:t>
      </w:r>
      <w:r w:rsidRPr="004A0B8B">
        <w:rPr>
          <w:sz w:val="24"/>
          <w:szCs w:val="24"/>
          <w:shd w:val="clear" w:color="auto" w:fill="FFFFFF"/>
        </w:rPr>
        <w:t xml:space="preserve">any obligation or alleged obligation of a consumer to pay money arising out of a </w:t>
      </w:r>
      <w:r>
        <w:rPr>
          <w:sz w:val="24"/>
          <w:szCs w:val="24"/>
          <w:shd w:val="clear" w:color="auto" w:fill="FFFFFF"/>
        </w:rPr>
        <w:t>transaction in which the</w:t>
      </w:r>
      <w:r w:rsidR="00B56C8D">
        <w:rPr>
          <w:sz w:val="24"/>
          <w:szCs w:val="24"/>
          <w:shd w:val="clear" w:color="auto" w:fill="FFFFFF"/>
        </w:rPr>
        <w:t xml:space="preserve"> </w:t>
      </w:r>
      <w:r>
        <w:rPr>
          <w:sz w:val="24"/>
          <w:szCs w:val="24"/>
          <w:shd w:val="clear" w:color="auto" w:fill="FFFFFF"/>
        </w:rPr>
        <w:t>…</w:t>
      </w:r>
      <w:r w:rsidR="00B56C8D">
        <w:rPr>
          <w:sz w:val="24"/>
          <w:szCs w:val="24"/>
          <w:shd w:val="clear" w:color="auto" w:fill="FFFFFF"/>
        </w:rPr>
        <w:t xml:space="preserve"> </w:t>
      </w:r>
      <w:r>
        <w:rPr>
          <w:sz w:val="24"/>
          <w:szCs w:val="24"/>
          <w:shd w:val="clear" w:color="auto" w:fill="FFFFFF"/>
        </w:rPr>
        <w:t>property</w:t>
      </w:r>
      <w:r w:rsidR="00B56C8D">
        <w:rPr>
          <w:sz w:val="24"/>
          <w:szCs w:val="24"/>
          <w:shd w:val="clear" w:color="auto" w:fill="FFFFFF"/>
        </w:rPr>
        <w:t xml:space="preserve"> </w:t>
      </w:r>
      <w:r>
        <w:rPr>
          <w:sz w:val="24"/>
          <w:szCs w:val="24"/>
          <w:shd w:val="clear" w:color="auto" w:fill="FFFFFF"/>
        </w:rPr>
        <w:t>…</w:t>
      </w:r>
      <w:r w:rsidR="00B56C8D">
        <w:rPr>
          <w:sz w:val="24"/>
          <w:szCs w:val="24"/>
          <w:shd w:val="clear" w:color="auto" w:fill="FFFFFF"/>
        </w:rPr>
        <w:t xml:space="preserve"> </w:t>
      </w:r>
      <w:r w:rsidRPr="004A0B8B">
        <w:rPr>
          <w:sz w:val="24"/>
          <w:szCs w:val="24"/>
          <w:shd w:val="clear" w:color="auto" w:fill="FFFFFF"/>
        </w:rPr>
        <w:t>or services which are the subject of the transaction are primarily for personal, family, or household purposes</w:t>
      </w:r>
      <w:r>
        <w:rPr>
          <w:sz w:val="24"/>
          <w:szCs w:val="24"/>
          <w:shd w:val="clear" w:color="auto" w:fill="FFFFFF"/>
        </w:rPr>
        <w:t>.”</w:t>
      </w:r>
      <w:r w:rsidR="003C2462">
        <w:rPr>
          <w:sz w:val="24"/>
          <w:szCs w:val="24"/>
          <w:shd w:val="clear" w:color="auto" w:fill="FFFFFF"/>
        </w:rPr>
        <w:t xml:space="preserve"> </w:t>
      </w:r>
      <w:r>
        <w:rPr>
          <w:i/>
          <w:sz w:val="24"/>
          <w:szCs w:val="24"/>
          <w:shd w:val="clear" w:color="auto" w:fill="FFFFFF"/>
        </w:rPr>
        <w:t xml:space="preserve">Id. </w:t>
      </w:r>
      <w:r>
        <w:rPr>
          <w:sz w:val="24"/>
          <w:szCs w:val="24"/>
          <w:shd w:val="clear" w:color="auto" w:fill="FFFFFF"/>
        </w:rPr>
        <w:t xml:space="preserve"> </w:t>
      </w:r>
    </w:p>
    <w:p w14:paraId="14D1E95C" w14:textId="20323B43" w:rsidR="004A0B8B" w:rsidRDefault="0054560C" w:rsidP="00623022">
      <w:pPr>
        <w:pStyle w:val="ListParagraph"/>
        <w:numPr>
          <w:ilvl w:val="0"/>
          <w:numId w:val="2"/>
        </w:numPr>
        <w:spacing w:line="480" w:lineRule="auto"/>
        <w:rPr>
          <w:sz w:val="24"/>
          <w:szCs w:val="24"/>
        </w:rPr>
      </w:pPr>
      <w:r>
        <w:rPr>
          <w:sz w:val="24"/>
          <w:szCs w:val="24"/>
        </w:rPr>
        <w:t xml:space="preserve">Both “Landlord’s” service of a Notice to Vacate to “Tenant” and his/her/its subsequent filing of an eviction complaint against “Tenant,” an occupant of covered property under the </w:t>
      </w:r>
      <w:r>
        <w:rPr>
          <w:sz w:val="24"/>
          <w:szCs w:val="24"/>
        </w:rPr>
        <w:lastRenderedPageBreak/>
        <w:t xml:space="preserve">CARES Act, </w:t>
      </w:r>
      <w:r w:rsidR="003C2462">
        <w:rPr>
          <w:sz w:val="24"/>
          <w:szCs w:val="24"/>
        </w:rPr>
        <w:t xml:space="preserve">were in violation of the CARES </w:t>
      </w:r>
      <w:r w:rsidR="00B56C8D">
        <w:rPr>
          <w:sz w:val="24"/>
          <w:szCs w:val="24"/>
        </w:rPr>
        <w:t xml:space="preserve">Act </w:t>
      </w:r>
      <w:r w:rsidR="003C2462">
        <w:rPr>
          <w:sz w:val="24"/>
          <w:szCs w:val="24"/>
        </w:rPr>
        <w:t xml:space="preserve">moratorium </w:t>
      </w:r>
      <w:r w:rsidR="00B56C8D">
        <w:rPr>
          <w:sz w:val="24"/>
          <w:szCs w:val="24"/>
        </w:rPr>
        <w:t xml:space="preserve">set forth in § 4024(b) and (c) </w:t>
      </w:r>
      <w:r w:rsidR="003C2462">
        <w:rPr>
          <w:sz w:val="24"/>
          <w:szCs w:val="24"/>
        </w:rPr>
        <w:t>and thus were actions that “cannot legally be taken” under the FDCPA. 15 U.S.C. §</w:t>
      </w:r>
      <w:r w:rsidR="00B56C8D">
        <w:rPr>
          <w:sz w:val="24"/>
          <w:szCs w:val="24"/>
        </w:rPr>
        <w:t> </w:t>
      </w:r>
      <w:r w:rsidR="003C2462">
        <w:rPr>
          <w:sz w:val="24"/>
          <w:szCs w:val="24"/>
        </w:rPr>
        <w:t xml:space="preserve">1692(e)(5). </w:t>
      </w:r>
    </w:p>
    <w:p w14:paraId="53F21B27" w14:textId="77777777" w:rsidR="00081C15" w:rsidRDefault="00081C15" w:rsidP="00623022">
      <w:pPr>
        <w:pStyle w:val="ListParagraph"/>
        <w:numPr>
          <w:ilvl w:val="0"/>
          <w:numId w:val="2"/>
        </w:numPr>
        <w:spacing w:line="480" w:lineRule="auto"/>
        <w:rPr>
          <w:sz w:val="24"/>
          <w:szCs w:val="24"/>
        </w:rPr>
      </w:pPr>
      <w:r>
        <w:rPr>
          <w:sz w:val="24"/>
          <w:szCs w:val="24"/>
        </w:rPr>
        <w:t xml:space="preserve">The FDCPA also prohibits debt collectors from </w:t>
      </w:r>
      <w:r w:rsidR="00F57915">
        <w:rPr>
          <w:sz w:val="24"/>
          <w:szCs w:val="24"/>
        </w:rPr>
        <w:t xml:space="preserve">using unfair or unconscionable means to collect or attempt to collect any debt. 15 U.S.C. § 1692(f). </w:t>
      </w:r>
    </w:p>
    <w:p w14:paraId="0A0891DF" w14:textId="77777777" w:rsidR="00F57915" w:rsidRPr="00F57915" w:rsidRDefault="00F57915" w:rsidP="00623022">
      <w:pPr>
        <w:pStyle w:val="ListParagraph"/>
        <w:numPr>
          <w:ilvl w:val="0"/>
          <w:numId w:val="2"/>
        </w:numPr>
        <w:spacing w:line="480" w:lineRule="auto"/>
        <w:rPr>
          <w:sz w:val="24"/>
          <w:szCs w:val="24"/>
        </w:rPr>
      </w:pPr>
      <w:r>
        <w:rPr>
          <w:sz w:val="24"/>
          <w:szCs w:val="24"/>
        </w:rPr>
        <w:t xml:space="preserve">Subsection 6(C) of 15 U.S.C. § 1692(f) </w:t>
      </w:r>
      <w:r w:rsidR="00AE1A71">
        <w:rPr>
          <w:sz w:val="24"/>
          <w:szCs w:val="24"/>
        </w:rPr>
        <w:t xml:space="preserve">specifically </w:t>
      </w:r>
      <w:r>
        <w:rPr>
          <w:sz w:val="24"/>
          <w:szCs w:val="24"/>
        </w:rPr>
        <w:t xml:space="preserve">prohibits </w:t>
      </w:r>
      <w:r>
        <w:rPr>
          <w:sz w:val="24"/>
          <w:szCs w:val="24"/>
          <w:shd w:val="clear" w:color="auto" w:fill="FFFFFF"/>
        </w:rPr>
        <w:t>“t</w:t>
      </w:r>
      <w:r w:rsidRPr="00F57915">
        <w:rPr>
          <w:sz w:val="24"/>
          <w:szCs w:val="24"/>
          <w:shd w:val="clear" w:color="auto" w:fill="FFFFFF"/>
        </w:rPr>
        <w:t>aking or threatening to take any nonjudicial action to effect dispossession or disablement of property if the property is exempt by law from such dispossession or disablement.</w:t>
      </w:r>
      <w:r>
        <w:rPr>
          <w:sz w:val="24"/>
          <w:szCs w:val="24"/>
          <w:shd w:val="clear" w:color="auto" w:fill="FFFFFF"/>
        </w:rPr>
        <w:t>”</w:t>
      </w:r>
    </w:p>
    <w:p w14:paraId="05D0BE4E" w14:textId="77777777" w:rsidR="00F57915" w:rsidRPr="00EE0393" w:rsidRDefault="00F57915" w:rsidP="00623022">
      <w:pPr>
        <w:pStyle w:val="ListParagraph"/>
        <w:numPr>
          <w:ilvl w:val="0"/>
          <w:numId w:val="2"/>
        </w:numPr>
        <w:spacing w:line="480" w:lineRule="auto"/>
        <w:rPr>
          <w:sz w:val="24"/>
          <w:szCs w:val="24"/>
        </w:rPr>
      </w:pPr>
      <w:r>
        <w:rPr>
          <w:sz w:val="24"/>
          <w:szCs w:val="24"/>
          <w:shd w:val="clear" w:color="auto" w:fill="FFFFFF"/>
        </w:rPr>
        <w:t>“Landlord’s” service of a notice to vacate to “Tenant”, as a nonjudicial action preceding “Landlord’s” judicial action for eviction against “Tenant</w:t>
      </w:r>
      <w:r w:rsidR="00EE0393">
        <w:rPr>
          <w:sz w:val="24"/>
          <w:szCs w:val="24"/>
          <w:shd w:val="clear" w:color="auto" w:fill="FFFFFF"/>
        </w:rPr>
        <w:t xml:space="preserve">,” </w:t>
      </w:r>
      <w:r>
        <w:rPr>
          <w:sz w:val="24"/>
          <w:szCs w:val="24"/>
          <w:shd w:val="clear" w:color="auto" w:fill="FFFFFF"/>
        </w:rPr>
        <w:t xml:space="preserve">was an action to effect the dispossession of property which </w:t>
      </w:r>
      <w:r w:rsidR="00EE0393">
        <w:rPr>
          <w:sz w:val="24"/>
          <w:szCs w:val="24"/>
          <w:shd w:val="clear" w:color="auto" w:fill="FFFFFF"/>
        </w:rPr>
        <w:t xml:space="preserve">“Tenant” possessed and which was exempt by the CARES Act from such dispossession. </w:t>
      </w:r>
    </w:p>
    <w:p w14:paraId="342162D8" w14:textId="77777777" w:rsidR="00EE0393" w:rsidRDefault="00EE0393" w:rsidP="00623022">
      <w:pPr>
        <w:pStyle w:val="ListParagraph"/>
        <w:numPr>
          <w:ilvl w:val="0"/>
          <w:numId w:val="2"/>
        </w:numPr>
        <w:spacing w:line="480" w:lineRule="auto"/>
        <w:rPr>
          <w:sz w:val="24"/>
          <w:szCs w:val="24"/>
        </w:rPr>
      </w:pPr>
      <w:r>
        <w:rPr>
          <w:sz w:val="24"/>
          <w:szCs w:val="24"/>
          <w:shd w:val="clear" w:color="auto" w:fill="FFFFFF"/>
        </w:rPr>
        <w:t xml:space="preserve">“Landlord” therefore violated the FDCPA, 15 U.S.C. </w:t>
      </w:r>
      <w:r>
        <w:rPr>
          <w:sz w:val="24"/>
          <w:szCs w:val="24"/>
        </w:rPr>
        <w:t>§ 1692(</w:t>
      </w:r>
      <w:proofErr w:type="gramStart"/>
      <w:r>
        <w:rPr>
          <w:sz w:val="24"/>
          <w:szCs w:val="24"/>
        </w:rPr>
        <w:t>f)6</w:t>
      </w:r>
      <w:proofErr w:type="gramEnd"/>
      <w:r>
        <w:rPr>
          <w:sz w:val="24"/>
          <w:szCs w:val="24"/>
        </w:rPr>
        <w:t>(C), by serving the notice to vacate.</w:t>
      </w:r>
    </w:p>
    <w:p w14:paraId="7FD9CE42" w14:textId="77777777" w:rsidR="00EE0393" w:rsidRDefault="00EE0393" w:rsidP="00623022">
      <w:pPr>
        <w:pStyle w:val="ListParagraph"/>
        <w:numPr>
          <w:ilvl w:val="0"/>
          <w:numId w:val="2"/>
        </w:numPr>
        <w:spacing w:line="480" w:lineRule="auto"/>
        <w:rPr>
          <w:sz w:val="24"/>
          <w:szCs w:val="24"/>
        </w:rPr>
      </w:pPr>
      <w:r>
        <w:rPr>
          <w:sz w:val="24"/>
          <w:szCs w:val="24"/>
        </w:rPr>
        <w:t>[Lockout cases also violate §</w:t>
      </w:r>
      <w:r w:rsidR="00AE1A71">
        <w:rPr>
          <w:sz w:val="24"/>
          <w:szCs w:val="24"/>
        </w:rPr>
        <w:t xml:space="preserve"> 1692(f)</w:t>
      </w:r>
      <w:r>
        <w:rPr>
          <w:sz w:val="24"/>
          <w:szCs w:val="24"/>
        </w:rPr>
        <w:t xml:space="preserve"> as nonjudicial </w:t>
      </w:r>
      <w:proofErr w:type="gramStart"/>
      <w:r>
        <w:rPr>
          <w:sz w:val="24"/>
          <w:szCs w:val="24"/>
        </w:rPr>
        <w:t>actions which</w:t>
      </w:r>
      <w:proofErr w:type="gramEnd"/>
      <w:r>
        <w:rPr>
          <w:sz w:val="24"/>
          <w:szCs w:val="24"/>
        </w:rPr>
        <w:t xml:space="preserve"> work to dispossess property exempt by law from dispossession. </w:t>
      </w:r>
      <w:r w:rsidR="00AE1A71">
        <w:rPr>
          <w:sz w:val="24"/>
          <w:szCs w:val="24"/>
        </w:rPr>
        <w:t>Additional material could go here for those cases?]</w:t>
      </w:r>
    </w:p>
    <w:p w14:paraId="61CAB95A" w14:textId="77777777" w:rsidR="00EE0393" w:rsidRDefault="00EE0393" w:rsidP="00EE0393">
      <w:pPr>
        <w:spacing w:line="480" w:lineRule="auto"/>
        <w:rPr>
          <w:sz w:val="24"/>
          <w:szCs w:val="24"/>
        </w:rPr>
      </w:pPr>
    </w:p>
    <w:p w14:paraId="3935A9CE" w14:textId="77777777" w:rsidR="00EE0393" w:rsidRDefault="00AE1A71" w:rsidP="00AE1A71">
      <w:pPr>
        <w:spacing w:line="480" w:lineRule="auto"/>
        <w:jc w:val="center"/>
        <w:rPr>
          <w:b/>
          <w:sz w:val="24"/>
          <w:szCs w:val="24"/>
        </w:rPr>
      </w:pPr>
      <w:r>
        <w:rPr>
          <w:b/>
          <w:sz w:val="24"/>
          <w:szCs w:val="24"/>
        </w:rPr>
        <w:t>VIOLATI</w:t>
      </w:r>
      <w:r w:rsidR="0017357F">
        <w:rPr>
          <w:b/>
          <w:sz w:val="24"/>
          <w:szCs w:val="24"/>
        </w:rPr>
        <w:t>ON</w:t>
      </w:r>
      <w:r>
        <w:rPr>
          <w:b/>
          <w:sz w:val="24"/>
          <w:szCs w:val="24"/>
        </w:rPr>
        <w:t xml:space="preserve"> OF ILLINOIS CONSUMER FRAUD STATUTE</w:t>
      </w:r>
    </w:p>
    <w:p w14:paraId="5AC02431" w14:textId="77777777" w:rsidR="008A6B5F" w:rsidRDefault="006A5CA2" w:rsidP="00623022">
      <w:pPr>
        <w:pStyle w:val="ListParagraph"/>
        <w:numPr>
          <w:ilvl w:val="0"/>
          <w:numId w:val="2"/>
        </w:numPr>
        <w:spacing w:line="480" w:lineRule="auto"/>
        <w:rPr>
          <w:sz w:val="24"/>
          <w:szCs w:val="24"/>
        </w:rPr>
      </w:pPr>
      <w:r>
        <w:rPr>
          <w:sz w:val="24"/>
          <w:szCs w:val="24"/>
        </w:rPr>
        <w:t>The Illinois Consumer Fraud and Deceptive Practices Act, 815 ILCS 505/2, prohibits “unfair or deceptive acts or practices</w:t>
      </w:r>
      <w:r w:rsidR="00865AAF">
        <w:rPr>
          <w:sz w:val="24"/>
          <w:szCs w:val="24"/>
        </w:rPr>
        <w:t xml:space="preserve">” in relationship with any trade or commerce. </w:t>
      </w:r>
    </w:p>
    <w:p w14:paraId="18395C45" w14:textId="77777777" w:rsidR="00865AAF" w:rsidRPr="00865AAF" w:rsidRDefault="00865AAF" w:rsidP="00623022">
      <w:pPr>
        <w:pStyle w:val="ListParagraph"/>
        <w:numPr>
          <w:ilvl w:val="0"/>
          <w:numId w:val="2"/>
        </w:numPr>
        <w:spacing w:line="480" w:lineRule="auto"/>
        <w:rPr>
          <w:sz w:val="24"/>
          <w:szCs w:val="24"/>
        </w:rPr>
      </w:pPr>
      <w:r>
        <w:rPr>
          <w:sz w:val="24"/>
          <w:szCs w:val="24"/>
        </w:rPr>
        <w:t>Such unfair or deceptive acts or practices include the “</w:t>
      </w:r>
      <w:r w:rsidRPr="00865AAF">
        <w:rPr>
          <w:sz w:val="24"/>
          <w:szCs w:val="24"/>
          <w:shd w:val="clear" w:color="auto" w:fill="FFFFFF"/>
        </w:rPr>
        <w:t xml:space="preserve">misrepresentation or the concealment, suppression or omission of any material fact, with intent that others rely upon the </w:t>
      </w:r>
      <w:r w:rsidRPr="00865AAF">
        <w:rPr>
          <w:sz w:val="24"/>
          <w:szCs w:val="24"/>
          <w:shd w:val="clear" w:color="auto" w:fill="FFFFFF"/>
        </w:rPr>
        <w:lastRenderedPageBreak/>
        <w:t>concealment, suppression or omission of such material fact</w:t>
      </w:r>
      <w:r>
        <w:rPr>
          <w:sz w:val="24"/>
          <w:szCs w:val="24"/>
          <w:shd w:val="clear" w:color="auto" w:fill="FFFFFF"/>
        </w:rPr>
        <w:t xml:space="preserve">.” </w:t>
      </w:r>
      <w:r>
        <w:rPr>
          <w:i/>
          <w:sz w:val="24"/>
          <w:szCs w:val="24"/>
          <w:shd w:val="clear" w:color="auto" w:fill="FFFFFF"/>
        </w:rPr>
        <w:t>Id.</w:t>
      </w:r>
    </w:p>
    <w:p w14:paraId="6B958F31" w14:textId="77777777" w:rsidR="00865AAF" w:rsidRPr="00865AAF" w:rsidRDefault="00865AAF" w:rsidP="00623022">
      <w:pPr>
        <w:pStyle w:val="ListParagraph"/>
        <w:numPr>
          <w:ilvl w:val="0"/>
          <w:numId w:val="2"/>
        </w:numPr>
        <w:spacing w:line="480" w:lineRule="auto"/>
        <w:rPr>
          <w:sz w:val="24"/>
          <w:szCs w:val="24"/>
        </w:rPr>
      </w:pPr>
      <w:r>
        <w:rPr>
          <w:sz w:val="24"/>
          <w:szCs w:val="24"/>
          <w:shd w:val="clear" w:color="auto" w:fill="FFFFFF"/>
        </w:rPr>
        <w:t xml:space="preserve">“Landlord” is engaged in “trade or commerce,” because he/she/it is regularly engaged in the </w:t>
      </w:r>
      <w:r w:rsidRPr="00865AAF">
        <w:rPr>
          <w:sz w:val="24"/>
          <w:szCs w:val="24"/>
          <w:shd w:val="clear" w:color="auto" w:fill="FFFFFF"/>
        </w:rPr>
        <w:t>“sale or distribution of any services and any property, tangible or intangible, real, personal or mixed, and any other article, commodity, or thing of value wherever situated</w:t>
      </w:r>
      <w:r>
        <w:rPr>
          <w:sz w:val="24"/>
          <w:szCs w:val="24"/>
          <w:shd w:val="clear" w:color="auto" w:fill="FFFFFF"/>
        </w:rPr>
        <w:t xml:space="preserve">.” 815 ILCS 505/1. </w:t>
      </w:r>
    </w:p>
    <w:p w14:paraId="63A3399E" w14:textId="77777777" w:rsidR="00865AAF" w:rsidRPr="00865AAF" w:rsidRDefault="00865AAF" w:rsidP="00623022">
      <w:pPr>
        <w:pStyle w:val="ListParagraph"/>
        <w:numPr>
          <w:ilvl w:val="0"/>
          <w:numId w:val="2"/>
        </w:numPr>
        <w:spacing w:line="480" w:lineRule="auto"/>
        <w:rPr>
          <w:sz w:val="24"/>
          <w:szCs w:val="24"/>
        </w:rPr>
      </w:pPr>
      <w:r>
        <w:rPr>
          <w:sz w:val="24"/>
          <w:szCs w:val="24"/>
          <w:shd w:val="clear" w:color="auto" w:fill="FFFFFF"/>
        </w:rPr>
        <w:t xml:space="preserve">It was a material fact on [date] concerning [property] that such property was exempt by the CARES moratorium from both notices to vacate and eviction actions. </w:t>
      </w:r>
    </w:p>
    <w:p w14:paraId="07E6551E" w14:textId="77777777" w:rsidR="00865AAF" w:rsidRPr="00865AAF" w:rsidRDefault="00865AAF" w:rsidP="00623022">
      <w:pPr>
        <w:pStyle w:val="ListParagraph"/>
        <w:numPr>
          <w:ilvl w:val="0"/>
          <w:numId w:val="2"/>
        </w:numPr>
        <w:spacing w:line="480" w:lineRule="auto"/>
        <w:rPr>
          <w:sz w:val="24"/>
          <w:szCs w:val="24"/>
        </w:rPr>
      </w:pPr>
      <w:r>
        <w:rPr>
          <w:sz w:val="24"/>
          <w:szCs w:val="24"/>
          <w:shd w:val="clear" w:color="auto" w:fill="FFFFFF"/>
        </w:rPr>
        <w:t xml:space="preserve">“Landlord” concealed and suppressed this material fact by issuing the notice to vacate and initiating eviction proceedings, both actions </w:t>
      </w:r>
      <w:proofErr w:type="gramStart"/>
      <w:r>
        <w:rPr>
          <w:sz w:val="24"/>
          <w:szCs w:val="24"/>
          <w:shd w:val="clear" w:color="auto" w:fill="FFFFFF"/>
        </w:rPr>
        <w:t>which</w:t>
      </w:r>
      <w:proofErr w:type="gramEnd"/>
      <w:r>
        <w:rPr>
          <w:sz w:val="24"/>
          <w:szCs w:val="24"/>
          <w:shd w:val="clear" w:color="auto" w:fill="FFFFFF"/>
        </w:rPr>
        <w:t xml:space="preserve"> represented to “Tenant” that no such moratorium existed, when it in fact did.</w:t>
      </w:r>
    </w:p>
    <w:p w14:paraId="2A5C16E6" w14:textId="77777777" w:rsidR="00865AAF" w:rsidRPr="0017357F" w:rsidRDefault="0017357F" w:rsidP="00623022">
      <w:pPr>
        <w:pStyle w:val="ListParagraph"/>
        <w:numPr>
          <w:ilvl w:val="0"/>
          <w:numId w:val="2"/>
        </w:numPr>
        <w:spacing w:line="480" w:lineRule="auto"/>
        <w:rPr>
          <w:sz w:val="24"/>
          <w:szCs w:val="24"/>
        </w:rPr>
      </w:pPr>
      <w:r>
        <w:rPr>
          <w:sz w:val="24"/>
          <w:szCs w:val="24"/>
          <w:shd w:val="clear" w:color="auto" w:fill="FFFFFF"/>
        </w:rPr>
        <w:t xml:space="preserve">“Landlord” intended that “Tenant” rely on this representation by acquiescing to the notice to vacate and subsequent eviction proceeding. </w:t>
      </w:r>
    </w:p>
    <w:p w14:paraId="29E73578" w14:textId="77777777" w:rsidR="0017357F" w:rsidRPr="0017357F" w:rsidRDefault="0017357F" w:rsidP="00623022">
      <w:pPr>
        <w:pStyle w:val="ListParagraph"/>
        <w:numPr>
          <w:ilvl w:val="0"/>
          <w:numId w:val="2"/>
        </w:numPr>
        <w:spacing w:line="480" w:lineRule="auto"/>
        <w:rPr>
          <w:sz w:val="24"/>
          <w:szCs w:val="24"/>
        </w:rPr>
      </w:pPr>
      <w:r>
        <w:rPr>
          <w:sz w:val="24"/>
          <w:szCs w:val="24"/>
          <w:shd w:val="clear" w:color="auto" w:fill="FFFFFF"/>
        </w:rPr>
        <w:t xml:space="preserve">“Landlord” therefore violated 815 ILCS 505/2 by issuing the notice to vacate and initiating eviction proceedings, and because “Tenant” was actually damaged by “Landlord’s” misrepresentations, “Tenant” is authorized to recover damages against “Landlord.” 815 ILCS 505/10a. </w:t>
      </w:r>
    </w:p>
    <w:p w14:paraId="25FB141D" w14:textId="77777777" w:rsidR="0017357F" w:rsidRDefault="0017357F" w:rsidP="0017357F">
      <w:pPr>
        <w:spacing w:line="480" w:lineRule="auto"/>
        <w:rPr>
          <w:sz w:val="24"/>
          <w:szCs w:val="24"/>
        </w:rPr>
      </w:pPr>
    </w:p>
    <w:p w14:paraId="2C3F5602" w14:textId="77777777" w:rsidR="0017357F" w:rsidRDefault="0017357F" w:rsidP="0017357F">
      <w:pPr>
        <w:spacing w:line="480" w:lineRule="auto"/>
        <w:jc w:val="center"/>
        <w:rPr>
          <w:b/>
          <w:sz w:val="24"/>
          <w:szCs w:val="24"/>
        </w:rPr>
      </w:pPr>
      <w:r>
        <w:rPr>
          <w:b/>
          <w:sz w:val="24"/>
          <w:szCs w:val="24"/>
        </w:rPr>
        <w:t>VIOLATION</w:t>
      </w:r>
      <w:r w:rsidR="008E4128">
        <w:rPr>
          <w:b/>
          <w:sz w:val="24"/>
          <w:szCs w:val="24"/>
        </w:rPr>
        <w:t>S</w:t>
      </w:r>
      <w:r>
        <w:rPr>
          <w:b/>
          <w:sz w:val="24"/>
          <w:szCs w:val="24"/>
        </w:rPr>
        <w:t xml:space="preserve"> OF UNIFORM DECEPTIVE TRADE PRACTICES ACT</w:t>
      </w:r>
    </w:p>
    <w:p w14:paraId="14D34A6B" w14:textId="77777777" w:rsidR="0017357F" w:rsidRDefault="008E4128" w:rsidP="00623022">
      <w:pPr>
        <w:pStyle w:val="ListParagraph"/>
        <w:numPr>
          <w:ilvl w:val="0"/>
          <w:numId w:val="2"/>
        </w:numPr>
        <w:spacing w:line="480" w:lineRule="auto"/>
        <w:rPr>
          <w:sz w:val="24"/>
          <w:szCs w:val="24"/>
        </w:rPr>
      </w:pPr>
      <w:r>
        <w:rPr>
          <w:sz w:val="24"/>
          <w:szCs w:val="24"/>
        </w:rPr>
        <w:t>The Uniform Deceptive Trade Practices Act, 815 ILCS 510/2, prohibits deceptive trade practices.</w:t>
      </w:r>
    </w:p>
    <w:p w14:paraId="08DAAD7C" w14:textId="77777777" w:rsidR="008E4128" w:rsidRDefault="008E4128" w:rsidP="00623022">
      <w:pPr>
        <w:pStyle w:val="ListParagraph"/>
        <w:numPr>
          <w:ilvl w:val="0"/>
          <w:numId w:val="2"/>
        </w:numPr>
        <w:spacing w:line="480" w:lineRule="auto"/>
        <w:rPr>
          <w:sz w:val="24"/>
          <w:szCs w:val="24"/>
        </w:rPr>
      </w:pPr>
      <w:r>
        <w:rPr>
          <w:sz w:val="24"/>
          <w:szCs w:val="24"/>
        </w:rPr>
        <w:t>Specifically, 815 ILCS 510/2(a)(5) prohibits representing that “goods or services have</w:t>
      </w:r>
      <w:r w:rsidR="00B56C8D">
        <w:rPr>
          <w:sz w:val="24"/>
          <w:szCs w:val="24"/>
        </w:rPr>
        <w:t xml:space="preserve"> </w:t>
      </w:r>
      <w:r>
        <w:rPr>
          <w:sz w:val="24"/>
          <w:szCs w:val="24"/>
        </w:rPr>
        <w:t>…</w:t>
      </w:r>
      <w:r w:rsidR="00B56C8D">
        <w:rPr>
          <w:sz w:val="24"/>
          <w:szCs w:val="24"/>
        </w:rPr>
        <w:t xml:space="preserve"> </w:t>
      </w:r>
      <w:r>
        <w:rPr>
          <w:sz w:val="24"/>
          <w:szCs w:val="24"/>
        </w:rPr>
        <w:t>characteristics</w:t>
      </w:r>
      <w:r w:rsidR="00B56C8D">
        <w:rPr>
          <w:sz w:val="24"/>
          <w:szCs w:val="24"/>
        </w:rPr>
        <w:t xml:space="preserve"> </w:t>
      </w:r>
      <w:r>
        <w:rPr>
          <w:sz w:val="24"/>
          <w:szCs w:val="24"/>
        </w:rPr>
        <w:t>…</w:t>
      </w:r>
      <w:r w:rsidR="00B56C8D">
        <w:rPr>
          <w:sz w:val="24"/>
          <w:szCs w:val="24"/>
        </w:rPr>
        <w:t xml:space="preserve"> </w:t>
      </w:r>
      <w:r>
        <w:rPr>
          <w:sz w:val="24"/>
          <w:szCs w:val="24"/>
        </w:rPr>
        <w:t xml:space="preserve">that they do not have.” </w:t>
      </w:r>
    </w:p>
    <w:p w14:paraId="483E33E1" w14:textId="77777777" w:rsidR="008E4128" w:rsidRDefault="008E4128" w:rsidP="00623022">
      <w:pPr>
        <w:pStyle w:val="ListParagraph"/>
        <w:numPr>
          <w:ilvl w:val="0"/>
          <w:numId w:val="2"/>
        </w:numPr>
        <w:spacing w:line="480" w:lineRule="auto"/>
        <w:rPr>
          <w:sz w:val="24"/>
          <w:szCs w:val="24"/>
        </w:rPr>
      </w:pPr>
      <w:r>
        <w:rPr>
          <w:sz w:val="24"/>
          <w:szCs w:val="24"/>
        </w:rPr>
        <w:t xml:space="preserve">Moreover, 815 ILCS 510/2(a)(12) prohibits “any other conduct which similarly creates a </w:t>
      </w:r>
      <w:r>
        <w:rPr>
          <w:sz w:val="24"/>
          <w:szCs w:val="24"/>
        </w:rPr>
        <w:lastRenderedPageBreak/>
        <w:t>likelihood of confusion or misunderstanding.”</w:t>
      </w:r>
    </w:p>
    <w:p w14:paraId="155923AB" w14:textId="77777777" w:rsidR="008E4128" w:rsidRDefault="008E4128" w:rsidP="00623022">
      <w:pPr>
        <w:pStyle w:val="ListParagraph"/>
        <w:numPr>
          <w:ilvl w:val="0"/>
          <w:numId w:val="2"/>
        </w:numPr>
        <w:spacing w:line="480" w:lineRule="auto"/>
        <w:rPr>
          <w:sz w:val="24"/>
          <w:szCs w:val="24"/>
        </w:rPr>
      </w:pPr>
      <w:r>
        <w:rPr>
          <w:sz w:val="24"/>
          <w:szCs w:val="24"/>
        </w:rPr>
        <w:t>“Landlord” provides goods or services.</w:t>
      </w:r>
    </w:p>
    <w:p w14:paraId="17BA244D" w14:textId="5D964421" w:rsidR="008E4128" w:rsidRDefault="008E4128" w:rsidP="00623022">
      <w:pPr>
        <w:pStyle w:val="ListParagraph"/>
        <w:numPr>
          <w:ilvl w:val="0"/>
          <w:numId w:val="2"/>
        </w:numPr>
        <w:spacing w:line="480" w:lineRule="auto"/>
        <w:rPr>
          <w:sz w:val="24"/>
          <w:szCs w:val="24"/>
        </w:rPr>
      </w:pPr>
      <w:r>
        <w:rPr>
          <w:sz w:val="24"/>
          <w:szCs w:val="24"/>
        </w:rPr>
        <w:t>“</w:t>
      </w:r>
      <w:commentRangeStart w:id="2"/>
      <w:r>
        <w:rPr>
          <w:sz w:val="24"/>
          <w:szCs w:val="24"/>
        </w:rPr>
        <w:t>Landlord</w:t>
      </w:r>
      <w:commentRangeEnd w:id="2"/>
      <w:r w:rsidR="00623022">
        <w:rPr>
          <w:rStyle w:val="CommentReference"/>
        </w:rPr>
        <w:commentReference w:id="2"/>
      </w:r>
      <w:r>
        <w:rPr>
          <w:sz w:val="24"/>
          <w:szCs w:val="24"/>
        </w:rPr>
        <w:t xml:space="preserve">” represented to “Tenant” that “Tenant’s” lease would comply with all state and federal statutory and regulatory requirements. </w:t>
      </w:r>
    </w:p>
    <w:p w14:paraId="5B0F54E5" w14:textId="596115AB" w:rsidR="008E4128" w:rsidRPr="00AA7DCB" w:rsidRDefault="008E4128" w:rsidP="00623022">
      <w:pPr>
        <w:pStyle w:val="ListParagraph"/>
        <w:numPr>
          <w:ilvl w:val="0"/>
          <w:numId w:val="2"/>
        </w:numPr>
        <w:spacing w:line="480" w:lineRule="auto"/>
        <w:rPr>
          <w:sz w:val="24"/>
          <w:szCs w:val="24"/>
        </w:rPr>
      </w:pPr>
      <w:r>
        <w:rPr>
          <w:sz w:val="24"/>
          <w:szCs w:val="24"/>
        </w:rPr>
        <w:t xml:space="preserve">In fact, </w:t>
      </w:r>
      <w:r w:rsidR="00E11AAB">
        <w:rPr>
          <w:sz w:val="24"/>
          <w:szCs w:val="24"/>
        </w:rPr>
        <w:t xml:space="preserve">“Landlord” did not comply with state and federal statutory and regulatory requirements, </w:t>
      </w:r>
      <w:commentRangeStart w:id="3"/>
      <w:r w:rsidR="00E11AAB">
        <w:rPr>
          <w:sz w:val="24"/>
          <w:szCs w:val="24"/>
        </w:rPr>
        <w:t xml:space="preserve">specifically </w:t>
      </w:r>
      <w:r w:rsidR="007539CF">
        <w:rPr>
          <w:sz w:val="24"/>
          <w:szCs w:val="24"/>
        </w:rPr>
        <w:t xml:space="preserve">the </w:t>
      </w:r>
      <w:r w:rsidR="00E11AAB">
        <w:rPr>
          <w:sz w:val="24"/>
          <w:szCs w:val="24"/>
        </w:rPr>
        <w:t>provisions</w:t>
      </w:r>
      <w:r w:rsidR="007539CF">
        <w:rPr>
          <w:sz w:val="24"/>
          <w:szCs w:val="24"/>
        </w:rPr>
        <w:t xml:space="preserve"> under CARES</w:t>
      </w:r>
      <w:commentRangeEnd w:id="3"/>
      <w:r w:rsidR="00623022">
        <w:rPr>
          <w:rStyle w:val="CommentReference"/>
        </w:rPr>
        <w:commentReference w:id="3"/>
      </w:r>
      <w:proofErr w:type="gramStart"/>
      <w:r w:rsidR="00E11AAB">
        <w:rPr>
          <w:sz w:val="24"/>
          <w:szCs w:val="24"/>
        </w:rPr>
        <w:t xml:space="preserve"> which</w:t>
      </w:r>
      <w:proofErr w:type="gramEnd"/>
      <w:r w:rsidR="00E11AAB">
        <w:rPr>
          <w:sz w:val="24"/>
          <w:szCs w:val="24"/>
        </w:rPr>
        <w:t xml:space="preserve"> prohibit both notices to vacate and eviction proceedings. </w:t>
      </w:r>
      <w:r w:rsidR="006A67C8">
        <w:rPr>
          <w:sz w:val="24"/>
          <w:szCs w:val="24"/>
        </w:rPr>
        <w:t xml:space="preserve">[If HCV – cite to 24 CFR </w:t>
      </w:r>
      <w:r w:rsidR="006A67C8" w:rsidRPr="00623022">
        <w:rPr>
          <w:sz w:val="24"/>
          <w:szCs w:val="24"/>
        </w:rPr>
        <w:t xml:space="preserve">§ 982.308(c). If PBS8 – cite to HUD Model </w:t>
      </w:r>
      <w:r w:rsidR="00AA7DCB" w:rsidRPr="00623022">
        <w:rPr>
          <w:sz w:val="24"/>
          <w:szCs w:val="24"/>
        </w:rPr>
        <w:t>Lease Par</w:t>
      </w:r>
      <w:r w:rsidR="00AA7DCB">
        <w:rPr>
          <w:sz w:val="24"/>
          <w:szCs w:val="24"/>
        </w:rPr>
        <w:t>a</w:t>
      </w:r>
      <w:r w:rsidR="00AA7DCB" w:rsidRPr="00623022">
        <w:rPr>
          <w:sz w:val="24"/>
          <w:szCs w:val="24"/>
        </w:rPr>
        <w:t>graph 23(b).</w:t>
      </w:r>
      <w:r w:rsidR="00AA7DCB">
        <w:rPr>
          <w:sz w:val="24"/>
          <w:szCs w:val="24"/>
        </w:rPr>
        <w:t>]</w:t>
      </w:r>
    </w:p>
    <w:p w14:paraId="7638B47F" w14:textId="77777777" w:rsidR="007539CF" w:rsidRDefault="007539CF" w:rsidP="00623022">
      <w:pPr>
        <w:pStyle w:val="ListParagraph"/>
        <w:numPr>
          <w:ilvl w:val="0"/>
          <w:numId w:val="2"/>
        </w:numPr>
        <w:spacing w:line="480" w:lineRule="auto"/>
        <w:rPr>
          <w:sz w:val="24"/>
          <w:szCs w:val="24"/>
        </w:rPr>
      </w:pPr>
      <w:r>
        <w:rPr>
          <w:sz w:val="24"/>
          <w:szCs w:val="24"/>
        </w:rPr>
        <w:t>“Landlord’s” conduct created a likelihood of confusion or misunderstanding on the part of “Tenant” that he/she could be evicted at a time when he legally could not be.</w:t>
      </w:r>
    </w:p>
    <w:p w14:paraId="78716E22" w14:textId="77777777" w:rsidR="007B0245" w:rsidRDefault="007B0245" w:rsidP="007B0245">
      <w:pPr>
        <w:pStyle w:val="NormalWeb"/>
      </w:pPr>
      <w:r>
        <w:t xml:space="preserve">WHEREFORE, Plaintiff respectfully requests that judgment be entered in her favor and against the defendant for: </w:t>
      </w:r>
    </w:p>
    <w:p w14:paraId="329B1440" w14:textId="77777777" w:rsidR="007B0245" w:rsidRDefault="007B0245" w:rsidP="007B0245">
      <w:pPr>
        <w:pStyle w:val="NormalWeb"/>
        <w:ind w:left="720"/>
      </w:pPr>
      <w:r>
        <w:t xml:space="preserve">(a) </w:t>
      </w:r>
      <w:proofErr w:type="gramStart"/>
      <w:r>
        <w:t>actual</w:t>
      </w:r>
      <w:proofErr w:type="gramEnd"/>
      <w:r>
        <w:t xml:space="preserve"> damages; </w:t>
      </w:r>
    </w:p>
    <w:p w14:paraId="0264A582" w14:textId="77777777" w:rsidR="007B0245" w:rsidRDefault="007B0245" w:rsidP="007B0245">
      <w:pPr>
        <w:pStyle w:val="NormalWeb"/>
        <w:ind w:left="720"/>
      </w:pPr>
      <w:r>
        <w:t xml:space="preserve">(b) </w:t>
      </w:r>
      <w:proofErr w:type="gramStart"/>
      <w:r>
        <w:t>statutory</w:t>
      </w:r>
      <w:proofErr w:type="gramEnd"/>
      <w:r>
        <w:t xml:space="preserve"> damages pursuant to 15 U.S.C. §1692k and 815 ILCS </w:t>
      </w:r>
      <w:r w:rsidR="008305B6">
        <w:t>505/10a</w:t>
      </w:r>
      <w:r>
        <w:t xml:space="preserve">; </w:t>
      </w:r>
    </w:p>
    <w:p w14:paraId="245FB66F" w14:textId="7C893183" w:rsidR="00E11AAB" w:rsidRDefault="008305B6" w:rsidP="007B0245">
      <w:pPr>
        <w:pStyle w:val="NormalWeb"/>
        <w:ind w:left="720"/>
      </w:pPr>
      <w:r>
        <w:t xml:space="preserve">(c) </w:t>
      </w:r>
      <w:proofErr w:type="gramStart"/>
      <w:r>
        <w:t>injunctive</w:t>
      </w:r>
      <w:proofErr w:type="gramEnd"/>
      <w:r>
        <w:t xml:space="preserve"> relief </w:t>
      </w:r>
      <w:r w:rsidR="00E11AAB">
        <w:t>requiring that “landlord” cease all unlawful eviction efforts;</w:t>
      </w:r>
    </w:p>
    <w:p w14:paraId="6A2E1FED" w14:textId="6B7C88B5" w:rsidR="008305B6" w:rsidRDefault="00E11AAB" w:rsidP="007B0245">
      <w:pPr>
        <w:pStyle w:val="NormalWeb"/>
        <w:ind w:left="720"/>
      </w:pPr>
      <w:r>
        <w:t xml:space="preserve">(d) </w:t>
      </w:r>
      <w:proofErr w:type="gramStart"/>
      <w:r>
        <w:t>declaratory</w:t>
      </w:r>
      <w:proofErr w:type="gramEnd"/>
      <w:r>
        <w:t xml:space="preserve"> judgment</w:t>
      </w:r>
      <w:r w:rsidR="006A67C8">
        <w:t>, pursuant to 735 ILCS 5/2-701,</w:t>
      </w:r>
      <w:r>
        <w:t xml:space="preserve"> to the effect that both the notice to vacate and eviction action were unlawful</w:t>
      </w:r>
      <w:r w:rsidR="006A67C8">
        <w:t>;</w:t>
      </w:r>
    </w:p>
    <w:p w14:paraId="068BADAE" w14:textId="239574C7" w:rsidR="007B0245" w:rsidRDefault="008305B6" w:rsidP="007B0245">
      <w:pPr>
        <w:pStyle w:val="NormalWeb"/>
        <w:ind w:left="720"/>
      </w:pPr>
      <w:r>
        <w:t>(</w:t>
      </w:r>
      <w:r w:rsidR="00E11AAB">
        <w:t>e</w:t>
      </w:r>
      <w:r w:rsidR="007B0245">
        <w:t xml:space="preserve">) </w:t>
      </w:r>
      <w:proofErr w:type="gramStart"/>
      <w:r w:rsidR="007B0245">
        <w:t>attorney’s</w:t>
      </w:r>
      <w:proofErr w:type="gramEnd"/>
      <w:r w:rsidR="007B0245">
        <w:t xml:space="preserve"> fees and costs pursuant to 15 U.S.C. 1692k; and </w:t>
      </w:r>
    </w:p>
    <w:p w14:paraId="10927463" w14:textId="503E80D6" w:rsidR="00EE43A3" w:rsidRPr="00EE43A3" w:rsidRDefault="008305B6" w:rsidP="00B80CF0">
      <w:pPr>
        <w:pStyle w:val="NormalWeb"/>
        <w:ind w:left="720"/>
      </w:pPr>
      <w:r>
        <w:t>(</w:t>
      </w:r>
      <w:r w:rsidR="00E11AAB">
        <w:t>f</w:t>
      </w:r>
      <w:r>
        <w:t xml:space="preserve">) </w:t>
      </w:r>
      <w:proofErr w:type="gramStart"/>
      <w:r>
        <w:t>such</w:t>
      </w:r>
      <w:proofErr w:type="gramEnd"/>
      <w:r>
        <w:t xml:space="preserve"> other and further relief as may be just and proper</w:t>
      </w:r>
      <w:r w:rsidR="00B80CF0">
        <w:t>.</w:t>
      </w:r>
    </w:p>
    <w:sectPr w:rsidR="00EE43A3" w:rsidRPr="00EE43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5263A626" w14:textId="4AF36E3A" w:rsidR="00785174" w:rsidRDefault="00785174" w:rsidP="00785174">
      <w:pPr>
        <w:pStyle w:val="CommentText"/>
      </w:pPr>
      <w:r>
        <w:rPr>
          <w:rStyle w:val="CommentReference"/>
        </w:rPr>
        <w:annotationRef/>
      </w:r>
      <w:r>
        <w:t xml:space="preserve">There is a ton of FDCPA case law about the phrase “owed or due another” in </w:t>
      </w:r>
      <w:r>
        <w:rPr>
          <w:sz w:val="24"/>
          <w:szCs w:val="24"/>
        </w:rPr>
        <w:t xml:space="preserve">15 U.S.C. § 1692(a).  </w:t>
      </w:r>
      <w:r>
        <w:t xml:space="preserve">In general, one cannot be a “debt collector” if one is collecting debt on behalf of </w:t>
      </w:r>
      <w:r>
        <w:rPr>
          <w:u w:val="single"/>
        </w:rPr>
        <w:t>itself</w:t>
      </w:r>
      <w:r>
        <w:t xml:space="preserve"> (the exception being if the entity uses a name other than its own name). </w:t>
      </w:r>
      <w:r>
        <w:rPr>
          <w:i/>
        </w:rPr>
        <w:t>See</w:t>
      </w:r>
      <w:r>
        <w:t xml:space="preserve"> </w:t>
      </w:r>
      <w:r>
        <w:rPr>
          <w:i/>
        </w:rPr>
        <w:t xml:space="preserve">Catencamp v. Cendant Timeshare Resort Grp., </w:t>
      </w:r>
      <w:r>
        <w:t>471 F.3d 780, 781 (7th Cir. 2006).  This may present a challenge for FDCPA claims in the case of a pro se landlor</w:t>
      </w:r>
      <w:r w:rsidR="00C94F6A">
        <w:t>d, whereas i</w:t>
      </w:r>
      <w:r>
        <w:t xml:space="preserve">t </w:t>
      </w:r>
      <w:r w:rsidR="007A5D68">
        <w:t xml:space="preserve">is likely </w:t>
      </w:r>
      <w:r>
        <w:t>that a</w:t>
      </w:r>
      <w:r w:rsidR="00C94F6A">
        <w:t>n attorney or</w:t>
      </w:r>
      <w:r>
        <w:t xml:space="preserve"> property manager who is collecting rent on behalf of the owner is a debt collector.</w:t>
      </w:r>
    </w:p>
  </w:comment>
  <w:comment w:id="2" w:author="Author" w:initials="A">
    <w:p w14:paraId="4A23D66F" w14:textId="77777777" w:rsidR="00623022" w:rsidRDefault="00623022" w:rsidP="00623022">
      <w:pPr>
        <w:pStyle w:val="CommentText"/>
      </w:pPr>
      <w:r>
        <w:rPr>
          <w:rStyle w:val="CommentReference"/>
        </w:rPr>
        <w:annotationRef/>
      </w:r>
      <w:r>
        <w:t>For most federally subsidized programs, could cite to the applicable federal regulations, which do set forth this requirement – for example, in the HCV program, you have 24 CFR § 982.308(c).  In the Project-Based Section 8 Programs, can cite to the HUD Model Lease (</w:t>
      </w:r>
      <w:hyperlink r:id="rId1" w:history="1">
        <w:r>
          <w:rPr>
            <w:rStyle w:val="Hyperlink"/>
          </w:rPr>
          <w:t>https://www.hud.gov/sites/dfiles/OCHCO/documents/90105a.pdf</w:t>
        </w:r>
      </w:hyperlink>
      <w:r>
        <w:t>)</w:t>
      </w:r>
    </w:p>
    <w:p w14:paraId="5BE640AE" w14:textId="77777777" w:rsidR="00623022" w:rsidRDefault="00623022" w:rsidP="00623022">
      <w:pPr>
        <w:pStyle w:val="CommentText"/>
      </w:pPr>
    </w:p>
    <w:p w14:paraId="40EB525C" w14:textId="2B4C43AE" w:rsidR="00623022" w:rsidRDefault="00623022" w:rsidP="00623022">
      <w:pPr>
        <w:pStyle w:val="CommentText"/>
      </w:pPr>
      <w:r>
        <w:t>In the HUD Model Lease, there is Paragraph 23(b), which states that “[</w:t>
      </w:r>
      <w:proofErr w:type="gramStart"/>
      <w:r>
        <w:t>a]ny</w:t>
      </w:r>
      <w:proofErr w:type="gramEnd"/>
      <w:r>
        <w:t xml:space="preserve"> termination of this Agreement by the Landlord must be carried out in accordance with HUD regulations, State and local law, and the terms of this Agreement.”</w:t>
      </w:r>
    </w:p>
  </w:comment>
  <w:comment w:id="3" w:author="Author" w:initials="A">
    <w:p w14:paraId="518362BF" w14:textId="3C124999" w:rsidR="00623022" w:rsidRDefault="00623022">
      <w:pPr>
        <w:pStyle w:val="CommentText"/>
      </w:pPr>
      <w:r>
        <w:rPr>
          <w:rStyle w:val="CommentReference"/>
        </w:rPr>
        <w:annotationRef/>
      </w:r>
      <w:r>
        <w:t xml:space="preserve">Alternative way to </w:t>
      </w:r>
      <w:r w:rsidR="00785174">
        <w:t>frame</w:t>
      </w:r>
      <w:r>
        <w:t xml:space="preserve"> this: the unfair / deceptive practice is representing that the landlord will follow all legal requirements when terminating a tenancy, but then issues notice to vacate / pursues eviction that violates CARES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63A626" w15:done="0"/>
  <w15:commentEx w15:paraId="40EB525C" w15:done="0"/>
  <w15:commentEx w15:paraId="518362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3A626" w16cid:durableId="229B1DF1"/>
  <w16cid:commentId w16cid:paraId="40EB525C" w16cid:durableId="229B1DC3"/>
  <w16cid:commentId w16cid:paraId="518362BF" w16cid:durableId="229B1DD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ED331" w14:textId="77777777" w:rsidR="00AD06C4" w:rsidRDefault="00AD06C4" w:rsidP="009A03E4">
      <w:r>
        <w:separator/>
      </w:r>
    </w:p>
  </w:endnote>
  <w:endnote w:type="continuationSeparator" w:id="0">
    <w:p w14:paraId="460E4D0B" w14:textId="77777777" w:rsidR="00AD06C4" w:rsidRDefault="00AD06C4" w:rsidP="009A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altName w:val="Times New Roman"/>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E6D9C" w14:textId="77777777" w:rsidR="00AD06C4" w:rsidRDefault="00AD06C4" w:rsidP="009A03E4">
      <w:r>
        <w:separator/>
      </w:r>
    </w:p>
  </w:footnote>
  <w:footnote w:type="continuationSeparator" w:id="0">
    <w:p w14:paraId="5EBE9CE7" w14:textId="77777777" w:rsidR="00AD06C4" w:rsidRDefault="00AD06C4" w:rsidP="009A03E4">
      <w:r>
        <w:continuationSeparator/>
      </w:r>
    </w:p>
  </w:footnote>
  <w:footnote w:id="1">
    <w:p w14:paraId="22FDD13C" w14:textId="2580DF71" w:rsidR="009A03E4" w:rsidRDefault="009A03E4">
      <w:pPr>
        <w:pStyle w:val="FootnoteText"/>
      </w:pPr>
      <w:r>
        <w:rPr>
          <w:rStyle w:val="FootnoteReference"/>
        </w:rPr>
        <w:footnoteRef/>
      </w:r>
      <w:r>
        <w:t xml:space="preserve"> </w:t>
      </w:r>
      <w:proofErr w:type="gramStart"/>
      <w:r>
        <w:t xml:space="preserve">This complaint was drafted by </w:t>
      </w:r>
      <w:r w:rsidR="00BB43D5">
        <w:t xml:space="preserve">a Legal Aid Chicago team that included </w:t>
      </w:r>
      <w:r>
        <w:t>staff, interns, and fellows</w:t>
      </w:r>
      <w:proofErr w:type="gramEnd"/>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D54"/>
    <w:multiLevelType w:val="hybridMultilevel"/>
    <w:tmpl w:val="6B1CA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2F460E"/>
    <w:multiLevelType w:val="hybridMultilevel"/>
    <w:tmpl w:val="6E948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801613"/>
    <w:multiLevelType w:val="hybridMultilevel"/>
    <w:tmpl w:val="9086F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060372"/>
    <w:multiLevelType w:val="hybridMultilevel"/>
    <w:tmpl w:val="D166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7D52BB"/>
    <w:multiLevelType w:val="hybridMultilevel"/>
    <w:tmpl w:val="0010A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D96539"/>
    <w:multiLevelType w:val="hybridMultilevel"/>
    <w:tmpl w:val="98DE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F87939"/>
    <w:multiLevelType w:val="hybridMultilevel"/>
    <w:tmpl w:val="C0783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1F6904"/>
    <w:multiLevelType w:val="hybridMultilevel"/>
    <w:tmpl w:val="42D8A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B81C51"/>
    <w:multiLevelType w:val="hybridMultilevel"/>
    <w:tmpl w:val="CB783784"/>
    <w:lvl w:ilvl="0" w:tplc="A2CC179C">
      <w:start w:val="1"/>
      <w:numFmt w:val="decimal"/>
      <w:lvlText w:val="%1."/>
      <w:lvlJc w:val="left"/>
      <w:pPr>
        <w:ind w:left="2880" w:hanging="360"/>
      </w:pPr>
      <w:rPr>
        <w:rFonts w:ascii="Times New Roman" w:hAnsi="Times New Roman" w:cs="Times New Roman"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7274120D"/>
    <w:multiLevelType w:val="hybridMultilevel"/>
    <w:tmpl w:val="2CFC0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AA04B6"/>
    <w:multiLevelType w:val="hybridMultilevel"/>
    <w:tmpl w:val="B016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72049"/>
    <w:multiLevelType w:val="hybridMultilevel"/>
    <w:tmpl w:val="65E8CE38"/>
    <w:lvl w:ilvl="0" w:tplc="F310364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0"/>
  </w:num>
  <w:num w:numId="4">
    <w:abstractNumId w:val="9"/>
  </w:num>
  <w:num w:numId="5">
    <w:abstractNumId w:val="11"/>
  </w:num>
  <w:num w:numId="6">
    <w:abstractNumId w:val="8"/>
  </w:num>
  <w:num w:numId="7">
    <w:abstractNumId w:val="6"/>
  </w:num>
  <w:num w:numId="8">
    <w:abstractNumId w:val="2"/>
  </w:num>
  <w:num w:numId="9">
    <w:abstractNumId w:val="4"/>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A3"/>
    <w:rsid w:val="0007310F"/>
    <w:rsid w:val="00081C15"/>
    <w:rsid w:val="00111590"/>
    <w:rsid w:val="0017357F"/>
    <w:rsid w:val="002340CD"/>
    <w:rsid w:val="003C2462"/>
    <w:rsid w:val="00485E0C"/>
    <w:rsid w:val="004A0B8B"/>
    <w:rsid w:val="004D4699"/>
    <w:rsid w:val="0054560C"/>
    <w:rsid w:val="005A6D62"/>
    <w:rsid w:val="006077E2"/>
    <w:rsid w:val="00623022"/>
    <w:rsid w:val="006A5CA2"/>
    <w:rsid w:val="006A67C8"/>
    <w:rsid w:val="007539CF"/>
    <w:rsid w:val="00785174"/>
    <w:rsid w:val="00787C1A"/>
    <w:rsid w:val="007A5D68"/>
    <w:rsid w:val="007B0245"/>
    <w:rsid w:val="008305B6"/>
    <w:rsid w:val="00865AAF"/>
    <w:rsid w:val="00894C8E"/>
    <w:rsid w:val="008A6B5F"/>
    <w:rsid w:val="008D1882"/>
    <w:rsid w:val="008E4128"/>
    <w:rsid w:val="009A03E4"/>
    <w:rsid w:val="00A57B5D"/>
    <w:rsid w:val="00AA7DCB"/>
    <w:rsid w:val="00AD06C4"/>
    <w:rsid w:val="00AD272C"/>
    <w:rsid w:val="00AE1A71"/>
    <w:rsid w:val="00B56C8D"/>
    <w:rsid w:val="00B80CF0"/>
    <w:rsid w:val="00BB43D5"/>
    <w:rsid w:val="00BC2CFB"/>
    <w:rsid w:val="00BE66B1"/>
    <w:rsid w:val="00C94F6A"/>
    <w:rsid w:val="00D20031"/>
    <w:rsid w:val="00E11AAB"/>
    <w:rsid w:val="00EE0393"/>
    <w:rsid w:val="00EE43A3"/>
    <w:rsid w:val="00F57915"/>
    <w:rsid w:val="00F7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8A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A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
    <w:qFormat/>
    <w:rsid w:val="00EE43A3"/>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A3"/>
    <w:rPr>
      <w:rFonts w:ascii="Times New Roman" w:eastAsiaTheme="minorEastAsia" w:hAnsi="Times New Roman" w:cs="Times New Roman"/>
    </w:rPr>
  </w:style>
  <w:style w:type="paragraph" w:styleId="ListParagraph">
    <w:name w:val="List Paragraph"/>
    <w:basedOn w:val="Normal"/>
    <w:uiPriority w:val="34"/>
    <w:qFormat/>
    <w:rsid w:val="006077E2"/>
    <w:pPr>
      <w:ind w:left="720"/>
      <w:contextualSpacing/>
    </w:pPr>
  </w:style>
  <w:style w:type="paragraph" w:styleId="NormalWeb">
    <w:name w:val="Normal (Web)"/>
    <w:basedOn w:val="Normal"/>
    <w:uiPriority w:val="99"/>
    <w:unhideWhenUsed/>
    <w:rsid w:val="007B0245"/>
    <w:pPr>
      <w:widowControl/>
      <w:autoSpaceDE/>
      <w:autoSpaceDN/>
      <w:adjustRightInd/>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AD2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72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D272C"/>
    <w:rPr>
      <w:sz w:val="16"/>
      <w:szCs w:val="16"/>
    </w:rPr>
  </w:style>
  <w:style w:type="paragraph" w:styleId="CommentText">
    <w:name w:val="annotation text"/>
    <w:basedOn w:val="Normal"/>
    <w:link w:val="CommentTextChar"/>
    <w:uiPriority w:val="99"/>
    <w:unhideWhenUsed/>
    <w:rsid w:val="00AD272C"/>
  </w:style>
  <w:style w:type="character" w:customStyle="1" w:styleId="CommentTextChar">
    <w:name w:val="Comment Text Char"/>
    <w:basedOn w:val="DefaultParagraphFont"/>
    <w:link w:val="CommentText"/>
    <w:uiPriority w:val="99"/>
    <w:rsid w:val="00AD272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272C"/>
    <w:rPr>
      <w:b/>
      <w:bCs/>
    </w:rPr>
  </w:style>
  <w:style w:type="character" w:customStyle="1" w:styleId="CommentSubjectChar">
    <w:name w:val="Comment Subject Char"/>
    <w:basedOn w:val="CommentTextChar"/>
    <w:link w:val="CommentSubject"/>
    <w:uiPriority w:val="99"/>
    <w:semiHidden/>
    <w:rsid w:val="00AD272C"/>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5A6D62"/>
    <w:rPr>
      <w:color w:val="0000FF"/>
      <w:u w:val="single"/>
    </w:rPr>
  </w:style>
  <w:style w:type="character" w:styleId="FollowedHyperlink">
    <w:name w:val="FollowedHyperlink"/>
    <w:basedOn w:val="DefaultParagraphFont"/>
    <w:uiPriority w:val="99"/>
    <w:semiHidden/>
    <w:unhideWhenUsed/>
    <w:rsid w:val="00E11AAB"/>
    <w:rPr>
      <w:color w:val="954F72" w:themeColor="followedHyperlink"/>
      <w:u w:val="single"/>
    </w:rPr>
  </w:style>
  <w:style w:type="paragraph" w:styleId="FootnoteText">
    <w:name w:val="footnote text"/>
    <w:basedOn w:val="Normal"/>
    <w:link w:val="FootnoteTextChar"/>
    <w:uiPriority w:val="99"/>
    <w:semiHidden/>
    <w:unhideWhenUsed/>
    <w:rsid w:val="009A03E4"/>
  </w:style>
  <w:style w:type="character" w:customStyle="1" w:styleId="FootnoteTextChar">
    <w:name w:val="Footnote Text Char"/>
    <w:basedOn w:val="DefaultParagraphFont"/>
    <w:link w:val="FootnoteText"/>
    <w:uiPriority w:val="99"/>
    <w:semiHidden/>
    <w:rsid w:val="009A03E4"/>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9A03E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A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
    <w:qFormat/>
    <w:rsid w:val="00EE43A3"/>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A3"/>
    <w:rPr>
      <w:rFonts w:ascii="Times New Roman" w:eastAsiaTheme="minorEastAsia" w:hAnsi="Times New Roman" w:cs="Times New Roman"/>
    </w:rPr>
  </w:style>
  <w:style w:type="paragraph" w:styleId="ListParagraph">
    <w:name w:val="List Paragraph"/>
    <w:basedOn w:val="Normal"/>
    <w:uiPriority w:val="34"/>
    <w:qFormat/>
    <w:rsid w:val="006077E2"/>
    <w:pPr>
      <w:ind w:left="720"/>
      <w:contextualSpacing/>
    </w:pPr>
  </w:style>
  <w:style w:type="paragraph" w:styleId="NormalWeb">
    <w:name w:val="Normal (Web)"/>
    <w:basedOn w:val="Normal"/>
    <w:uiPriority w:val="99"/>
    <w:unhideWhenUsed/>
    <w:rsid w:val="007B0245"/>
    <w:pPr>
      <w:widowControl/>
      <w:autoSpaceDE/>
      <w:autoSpaceDN/>
      <w:adjustRightInd/>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AD2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72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D272C"/>
    <w:rPr>
      <w:sz w:val="16"/>
      <w:szCs w:val="16"/>
    </w:rPr>
  </w:style>
  <w:style w:type="paragraph" w:styleId="CommentText">
    <w:name w:val="annotation text"/>
    <w:basedOn w:val="Normal"/>
    <w:link w:val="CommentTextChar"/>
    <w:uiPriority w:val="99"/>
    <w:unhideWhenUsed/>
    <w:rsid w:val="00AD272C"/>
  </w:style>
  <w:style w:type="character" w:customStyle="1" w:styleId="CommentTextChar">
    <w:name w:val="Comment Text Char"/>
    <w:basedOn w:val="DefaultParagraphFont"/>
    <w:link w:val="CommentText"/>
    <w:uiPriority w:val="99"/>
    <w:rsid w:val="00AD272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272C"/>
    <w:rPr>
      <w:b/>
      <w:bCs/>
    </w:rPr>
  </w:style>
  <w:style w:type="character" w:customStyle="1" w:styleId="CommentSubjectChar">
    <w:name w:val="Comment Subject Char"/>
    <w:basedOn w:val="CommentTextChar"/>
    <w:link w:val="CommentSubject"/>
    <w:uiPriority w:val="99"/>
    <w:semiHidden/>
    <w:rsid w:val="00AD272C"/>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5A6D62"/>
    <w:rPr>
      <w:color w:val="0000FF"/>
      <w:u w:val="single"/>
    </w:rPr>
  </w:style>
  <w:style w:type="character" w:styleId="FollowedHyperlink">
    <w:name w:val="FollowedHyperlink"/>
    <w:basedOn w:val="DefaultParagraphFont"/>
    <w:uiPriority w:val="99"/>
    <w:semiHidden/>
    <w:unhideWhenUsed/>
    <w:rsid w:val="00E11AAB"/>
    <w:rPr>
      <w:color w:val="954F72" w:themeColor="followedHyperlink"/>
      <w:u w:val="single"/>
    </w:rPr>
  </w:style>
  <w:style w:type="paragraph" w:styleId="FootnoteText">
    <w:name w:val="footnote text"/>
    <w:basedOn w:val="Normal"/>
    <w:link w:val="FootnoteTextChar"/>
    <w:uiPriority w:val="99"/>
    <w:semiHidden/>
    <w:unhideWhenUsed/>
    <w:rsid w:val="009A03E4"/>
  </w:style>
  <w:style w:type="character" w:customStyle="1" w:styleId="FootnoteTextChar">
    <w:name w:val="Footnote Text Char"/>
    <w:basedOn w:val="DefaultParagraphFont"/>
    <w:link w:val="FootnoteText"/>
    <w:uiPriority w:val="99"/>
    <w:semiHidden/>
    <w:rsid w:val="009A03E4"/>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9A0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hud.gov/sites/dfiles/OCHCO/documents/90105a.pdf" TargetMode="External"/></Relationship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B396D32455C240A3A8D4928BF4A3FB" ma:contentTypeVersion="0" ma:contentTypeDescription="Create a new document." ma:contentTypeScope="" ma:versionID="e426de884a3884bb806915aef2516c4f">
  <xsd:schema xmlns:xsd="http://www.w3.org/2001/XMLSchema" xmlns:xs="http://www.w3.org/2001/XMLSchema" xmlns:p="http://schemas.microsoft.com/office/2006/metadata/properties" targetNamespace="http://schemas.microsoft.com/office/2006/metadata/properties" ma:root="true" ma:fieldsID="15a4dc7130e0120ef7c7f4df88d283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C869C-ACA5-46BC-963E-BE5200CD23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856E6F-A2E3-4121-9C92-72E359F2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FB936B-725A-4772-BC6A-DFC8C76A8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1586</Words>
  <Characters>9044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2020-06-25T13:08:00Z</dcterms:created>
  <dcterms:modified xsi:type="dcterms:W3CDTF">2020-06-25T13:08:00Z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0x01010026B396D32455C240A3A8D4928BF4A3FB</vt:lpwstr>
  </property>
  <property fmtid="{D5CDD505-2E9C-101B-9397-08002B2CF9AE}" pid="3" name="IsMyDocuments">
    <vt:bool>true</vt:bool>
  </property>
</Properties>
</file>